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Curran Timothy Joseph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4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L.B. FOSTER COMPANY 415 HOLIDAY DRIVE,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FOSTER L B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FSTR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Controller and PAO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PITTSBURGH  PA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15220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295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9,090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295 restricted stock units (RSUs) which are settled in stock upon vesting and generally will vest ratably over a three-year period on the first, second, and third anniversary of the date of the grant.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255 Performance Restricted Stock Units earned under the 2025-2027 Long Term Incentive Plan granted on 5/22/2025; those 255 Performance Restricted Stock Units will settle at the end of the performance period on December 31, 2027, upon certification by the Compensation Committee.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966 Performance Restricted Stock Units earned under the 2024-2026 Long Term Incentive Plan granted on 5/23/2024; those 966 Performance Restricted Stock Units will settle at the end of the performance period on December 31, 2026, upon certification of the Compensation Committee.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Timothy J. Curran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744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4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Maribel Castro, attorney-in-</w:t>
        <w:tab/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37596" TargetMode="External"/><Relationship Id="rId14" Type="http://schemas.openxmlformats.org/officeDocument/2006/relationships/hyperlink" Target="http://www.sec.gov/cgi-bin/browse-edgar?action=getcompany&amp;CIK=00003528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2026-06-03T14:28:16Z</dcterms:created>
  <dcterms:modified xsi:type="dcterms:W3CDTF">2026-06-03T14:28:16Z</dcterms:modified>
</cp:coreProperties>
</file>