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3_1785873459.xml.htm"/>
      <w:bookmarkStart w:id="1" w:name="kswkform3_1785873459"/>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0"/>
        <w:gridCol w:w="3062"/>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Bowlin Jason Kyle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L.B. FOSTER COMPANY</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415 HOLIDAY DRIVE,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PITTSBURGH</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15220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0"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08/01/2026</w:t>
            </w:r>
          </w:p>
        </w:tc>
        <w:tc>
          <w:tcPr>
            <w:tcW w:w="5614"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FOSTER L B CO</w:t>
              </w:r>
            </w:hyperlink>
            <w:r>
              <w:rPr/>
              <w:t xml:space="preserve"> [ </w:t>
            </w:r>
            <w:r>
              <w:rPr>
                <w:rFonts w:ascii="Times;serif" w:hAnsi="Times;serif"/>
                <w:color w:val="0000FF"/>
                <w:sz w:val="24"/>
                <w:shd w:fill="FFFFFF" w:val="clear"/>
              </w:rPr>
              <w:t>FSTR</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Senior Vice President - Rail</w:t>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2"/>
        <w:gridCol w:w="1963"/>
        <w:gridCol w:w="1166"/>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1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6,582</w:t>
            </w:r>
            <w:r>
              <w:rPr>
                <w:rFonts w:ascii="Times;serif" w:hAnsi="Times;serif"/>
                <w:color w:val="008000"/>
                <w:position w:val="7"/>
                <w:sz w:val="16"/>
                <w:sz w:val="20"/>
                <w:shd w:fill="FFFFFF" w:val="clear"/>
              </w:rPr>
              <w:t>(1)(2)(3)(4)</w:t>
            </w:r>
          </w:p>
        </w:tc>
        <w:tc>
          <w:tcPr>
            <w:tcW w:w="11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Includes 340 Performance Restricted Stock Units earned under the 2025-2027 Long Term Incentive Plan granted on 5/22/2025; those 340 Performance Restricted Stock Units will settle at the end of the performance period on December 31, 2027, upon certification by the Compensation Committee.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1,288 Performance Restricted Stock Units earned under the 2024-2026 Long Term Incentive Plan granted on 5/23/2024; those 1,288 Performance Restricted Stock Units will settle at the end of the performance period on December 31, 2026, upon certification of the Compensation Committee.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Includes an award of 1,368 restricted stock units (RSUs) which are settled in stock upon vesting and generally will vest ratably over a three-year period on the first, second, and third anniversaries of the date of the grant.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Includes an award of 1,786 shares of time-vested restricted stock which will vest in 33 1/3 increments on each of the first, second, and third anniversary of the dates of the grants.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Jason K. Bowlin by Maribel Castro,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jc w:val="center"/>
        <w:rPr/>
      </w:pPr>
      <w:bookmarkStart w:id="2" w:name="conformedsignature-bowli.htm"/>
      <w:bookmarkStart w:id="3" w:name="ksconformedsignaturebowli"/>
      <w:bookmarkEnd w:id="2"/>
      <w:bookmarkEnd w:id="3"/>
      <w:r>
        <w:rPr/>
        <w:drawing>
          <wp:inline distT="0" distB="0" distL="0" distR="0">
            <wp:extent cx="10048875" cy="130016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LIMITED POWER OF ATTORNEY The undersigned, Jason Kyle Bowlin, does hereby nominate, constitute and appoint as his true and lawful attorneys-in-fact and agents with authority limited to and as specifically set forth herein, Patrick Guinee, Alex DelVecchio, and Maribel Castro (each hereinafter referred to as an "Attorney-in-Fact"). Each Attorney-in-Fact hereunder shall have the authority to: act, sign, execute and deliver for and on behalf of and in the place and stead of the undersigned, in the undersigned's capacity as a director and/or officer of L.B. Foster Company, a Pennsylvania corporation (the "Company"), the Forms 3, 4 and 5 documents pursuant to and in accordance with Section 16 of the Securities Exchange Act of 1934, as amended, and the rules and regulations thereunder (the "Exchange Act"); to do and perform any and all acts for and on behalf of the undersigned which may be necessary or desirable to complete and execute any such Form 3, 4, or 5 and file such form with the U.S. Securities and Exchange Commission and any stock exchange or similar authority; and to take any other action of any type whatsoever in connection with the foregoing which, in the opinion of such Attorney- in-Fact, may be of benefit to, in the best interest of, or legally required by, the undersigned, it being understood that the documents, executed by such Attorney-in-Fact on behalf of the undersigned pursuant to this Limited Power of Attorney shall be in such form and shall contain such terms and conditions as such Attorney-in-Fact may approve in such Attorney- in-Fact's discretion. 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shall lawfully do or cause to be done by virtue of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 This Limited Power of Attorney shall commence on the date of execution and shall remain in full force and effect until the undersigned is no longer required to file Form 3, 4, or 5 with respect to the undersigned's holdings of and transactions in securities issued by the Company, unless earlier revoked by the undersigned in a signed writing delivered to the Attorneys-in-Fact. IN WITNESS WHEREOF, I have caused this Limited Power of Attorney to be executed on July 17, 2026 Jason Kyle Bowlin /s/ Jason K. Bowlin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46909" TargetMode="External"/><Relationship Id="rId3" Type="http://schemas.openxmlformats.org/officeDocument/2006/relationships/hyperlink" Target="http://www.sec.gov/cgi-bin/browse-edgar?action=getcompany&amp;CIK=0000352825"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image" Target="media/image1.jpeg"/><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1037</Words>
  <Characters>5510</Characters>
  <CharactersWithSpaces>6497</CharactersWithSpaces>
  <Paragraphs>75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conformedsignature-bowli</dc:title>
</cp:coreProperties>
</file>