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tbl>
      <w:tblPr>
        <w:tblW w:w="4284" w:type="dxa"/>
        <w:jc w:val="center"/>
        <w:tblInd w:w="0" w:type="dxa"/>
        <w:tblLayout w:type="fixed"/>
        <w:tblCellMar>
          <w:top w:w="28" w:type="dxa"/>
          <w:left w:w="28" w:type="dxa"/>
          <w:bottom w:w="28" w:type="dxa"/>
          <w:right w:w="28" w:type="dxa"/>
        </w:tblCellMar>
      </w:tblPr>
      <w:tblGrid>
        <w:gridCol w:w="313"/>
        <w:gridCol w:w="274"/>
        <w:gridCol w:w="274"/>
        <w:gridCol w:w="274"/>
        <w:gridCol w:w="274"/>
        <w:gridCol w:w="274"/>
        <w:gridCol w:w="274"/>
        <w:gridCol w:w="274"/>
        <w:gridCol w:w="274"/>
        <w:gridCol w:w="274"/>
        <w:gridCol w:w="274"/>
        <w:gridCol w:w="274"/>
        <w:gridCol w:w="274"/>
        <w:gridCol w:w="274"/>
        <w:gridCol w:w="409"/>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0"/>
              </w:rPr>
            </w:pPr>
            <w:r>
              <w:rPr>
                <w:rFonts w:ascii="Times New Roman;serif" w:hAnsi="Times New Roman;serif"/>
                <w:b/>
                <w:color w:val="000000"/>
                <w:sz w:val="40"/>
              </w:rPr>
              <w:t>L.B. Foster Company</w:t>
            </w:r>
          </w:p>
        </w:tc>
      </w:tr>
      <w:tr>
        <w:trPr/>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842" w:type="dxa"/>
        <w:jc w:val="center"/>
        <w:tblInd w:w="0" w:type="dxa"/>
        <w:tblLayout w:type="fixed"/>
        <w:tblCellMar>
          <w:top w:w="28" w:type="dxa"/>
          <w:left w:w="28" w:type="dxa"/>
          <w:bottom w:w="28" w:type="dxa"/>
          <w:right w:w="28" w:type="dxa"/>
        </w:tblCellMar>
      </w:tblPr>
      <w:tblGrid>
        <w:gridCol w:w="587"/>
        <w:gridCol w:w="517"/>
        <w:gridCol w:w="517"/>
        <w:gridCol w:w="517"/>
        <w:gridCol w:w="517"/>
        <w:gridCol w:w="524"/>
        <w:gridCol w:w="662"/>
        <w:gridCol w:w="662"/>
        <w:gridCol w:w="670"/>
        <w:gridCol w:w="416"/>
        <w:gridCol w:w="416"/>
        <w:gridCol w:w="416"/>
        <w:gridCol w:w="416"/>
        <w:gridCol w:w="416"/>
        <w:gridCol w:w="589"/>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000-10436</w:t>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25-1324733</w:t>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415 Holiday Drive, Suite 100,</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15220</w:t>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Pittsburgh,</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(412) 928-3400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733"/>
        <w:gridCol w:w="645"/>
        <w:gridCol w:w="645"/>
        <w:gridCol w:w="818"/>
        <w:gridCol w:w="645"/>
        <w:gridCol w:w="645"/>
        <w:gridCol w:w="645"/>
        <w:gridCol w:w="645"/>
        <w:gridCol w:w="645"/>
        <w:gridCol w:w="645"/>
        <w:gridCol w:w="645"/>
        <w:gridCol w:w="645"/>
        <w:gridCol w:w="645"/>
        <w:gridCol w:w="645"/>
        <w:gridCol w:w="91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8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8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8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18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198" w:type="dxa"/>
        <w:jc w:val="center"/>
        <w:tblInd w:w="0" w:type="dxa"/>
        <w:tblLayout w:type="fixed"/>
        <w:tblCellMar>
          <w:top w:w="28" w:type="dxa"/>
          <w:left w:w="28" w:type="dxa"/>
          <w:bottom w:w="28" w:type="dxa"/>
          <w:right w:w="28" w:type="dxa"/>
        </w:tblCellMar>
      </w:tblPr>
      <w:tblGrid>
        <w:gridCol w:w="1002"/>
        <w:gridCol w:w="879"/>
        <w:gridCol w:w="879"/>
        <w:gridCol w:w="278"/>
        <w:gridCol w:w="278"/>
        <w:gridCol w:w="278"/>
        <w:gridCol w:w="485"/>
        <w:gridCol w:w="485"/>
        <w:gridCol w:w="485"/>
        <w:gridCol w:w="278"/>
        <w:gridCol w:w="278"/>
        <w:gridCol w:w="278"/>
        <w:gridCol w:w="971"/>
        <w:gridCol w:w="971"/>
        <w:gridCol w:w="1373"/>
      </w:tblGrid>
      <w:tr>
        <w:trPr/>
        <w:tc>
          <w:tcPr>
            <w:tcW w:w="100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9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FSTR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10, 2026, L.B. Foster Company (“Company”) issued a press release announcing the Company’s results of operations for the second quarter ended June 30, 2026. A copy of that press release is furnished with this report as Exhibit 99.1.</w:t>
      </w:r>
    </w:p>
    <w:p>
      <w:pPr>
        <w:pStyle w:val="TextBody"/>
        <w:bidi w:val="0"/>
        <w:spacing w:before="0" w:after="0"/>
        <w:ind w:left="0" w:right="0" w:firstLine="720"/>
        <w:jc w:val="both"/>
        <w:rPr/>
      </w:pPr>
      <w:r>
        <w:rPr/>
      </w:r>
    </w:p>
    <w:p>
      <w:pPr>
        <w:pStyle w:val="TextBody"/>
        <w:bidi w:val="0"/>
        <w:spacing w:lineRule="auto" w:line="288" w:before="2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shall not be deemed to be “filed” for the purposes of Section 18 of the Securities and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Exhibit Index below.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8083" w:type="dxa"/>
        <w:jc w:val="center"/>
        <w:tblInd w:w="0" w:type="dxa"/>
        <w:tblLayout w:type="fixed"/>
        <w:tblCellMar>
          <w:top w:w="28" w:type="dxa"/>
          <w:left w:w="28" w:type="dxa"/>
          <w:bottom w:w="28" w:type="dxa"/>
          <w:right w:w="28" w:type="dxa"/>
        </w:tblCellMar>
      </w:tblPr>
      <w:tblGrid>
        <w:gridCol w:w="538"/>
        <w:gridCol w:w="472"/>
        <w:gridCol w:w="474"/>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q22026.htm">
              <w:r>
                <w:rPr>
                  <w:rStyle w:val="InternetLink"/>
                  <w:rFonts w:ascii="Times New Roman;serif" w:hAnsi="Times New Roman;serif"/>
                  <w:b w:val="false"/>
                  <w:color w:val="000080"/>
                  <w:sz w:val="20"/>
                  <w:u w:val="single"/>
                </w:rPr>
                <w:t xml:space="preserve">Press Release dated </w:t>
              </w:r>
            </w:hyperlink>
            <w:hyperlink w:anchor="ex-991q22026.htm">
              <w:r>
                <w:rPr>
                  <w:rStyle w:val="InternetLink"/>
                  <w:rFonts w:ascii="Times New Roman;serif" w:hAnsi="Times New Roman;serif"/>
                  <w:b w:val="false"/>
                  <w:color w:val="000080"/>
                  <w:sz w:val="20"/>
                  <w:u w:val="single"/>
                </w:rPr>
                <w:t>August 10</w:t>
              </w:r>
            </w:hyperlink>
            <w:hyperlink w:anchor="ex-991q22026.htm">
              <w:r>
                <w:rPr>
                  <w:rStyle w:val="InternetLink"/>
                  <w:rFonts w:ascii="Times New Roman;serif" w:hAnsi="Times New Roman;serif"/>
                  <w:b w:val="false"/>
                  <w:color w:val="000080"/>
                  <w:sz w:val="20"/>
                  <w:u w:val="single"/>
                </w:rPr>
                <w:t>, 2026 of L.B. Foster Company.</w:t>
              </w:r>
            </w:hyperlink>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*Exhibits marked with an asterisk are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both"/>
        <w:rPr/>
      </w:pPr>
      <w:r>
        <w:rPr/>
      </w:r>
    </w:p>
    <w:tbl>
      <w:tblPr>
        <w:tblW w:w="566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975"/>
        <w:gridCol w:w="975"/>
        <w:gridCol w:w="13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L.B. FOSTER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 Sean M. Reilly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Sean M. Reilly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of Registrant)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27" w:type="dxa"/>
        <w:jc w:val="left"/>
        <w:tblInd w:w="0" w:type="dxa"/>
        <w:tblLayout w:type="fixed"/>
        <w:tblCellMar>
          <w:top w:w="28" w:type="dxa"/>
          <w:left w:w="28" w:type="dxa"/>
          <w:bottom w:w="28" w:type="dxa"/>
          <w:right w:w="28" w:type="dxa"/>
        </w:tblCellMar>
      </w:tblPr>
      <w:tblGrid>
        <w:gridCol w:w="1341"/>
        <w:gridCol w:w="1179"/>
        <w:gridCol w:w="1181"/>
        <w:gridCol w:w="109"/>
        <w:gridCol w:w="109"/>
        <w:gridCol w:w="109"/>
        <w:gridCol w:w="614"/>
        <w:gridCol w:w="614"/>
        <w:gridCol w:w="871"/>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695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695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8"/>
              </w:rPr>
            </w:pPr>
            <w:r>
              <w:rPr>
                <w:rFonts w:ascii="Arial;sans-serif" w:hAnsi="Arial;sans-serif"/>
                <w:b/>
                <w:color w:val="000000"/>
                <w:sz w:val="28"/>
              </w:rPr>
              <w:t>News Release</w:t>
            </w:r>
          </w:p>
          <w:p>
            <w:pPr>
              <w:pStyle w:val="TableContents"/>
              <w:bidi w:val="0"/>
              <w:spacing w:before="0" w:after="0"/>
              <w:jc w:val="right"/>
              <w:rPr/>
            </w:pPr>
            <w:r>
              <w:rPr/>
            </w:r>
          </w:p>
        </w:tc>
      </w:tr>
    </w:tbl>
    <w:p>
      <w:pPr>
        <w:pStyle w:val="TextBody"/>
        <w:bidi w:val="0"/>
        <w:spacing w:lineRule="auto" w:line="328" w:before="0" w:after="60"/>
        <w:jc w:val="center"/>
        <w:rPr>
          <w:rFonts w:ascii="Arial;sans-serif" w:hAnsi="Arial;sans-serif"/>
          <w:b/>
          <w:color w:val="000000"/>
          <w:sz w:val="28"/>
        </w:rPr>
      </w:pPr>
      <w:r>
        <w:rPr>
          <w:rFonts w:ascii="Arial;sans-serif" w:hAnsi="Arial;sans-serif"/>
          <w:b/>
          <w:color w:val="000000"/>
          <w:sz w:val="28"/>
        </w:rPr>
        <w:t xml:space="preserve">L.B. Foster Announces Second Quarter Results with Highest Second Quarter Operating Cash Flow Since 2017; Reaffirms Full Year 2026 Financial Guidance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120"/>
              <w:jc w:val="both"/>
              <w:rPr/>
            </w:pPr>
            <w:r>
              <w:rPr/>
            </w:r>
          </w:p>
        </w:tc>
      </w:tr>
    </w:tbl>
    <w:p>
      <w:pPr>
        <w:pStyle w:val="TextBody"/>
        <w:bidi w:val="0"/>
        <w:spacing w:lineRule="auto" w:line="331" w:before="0" w:after="120"/>
        <w:ind w:left="0" w:right="0" w:hanging="360"/>
        <w:jc w:val="both"/>
        <w:rPr/>
      </w:pPr>
      <w:r>
        <w:rPr>
          <w:color w:val="000000"/>
        </w:rPr>
        <w:t>•</w:t>
      </w:r>
      <w:r>
        <w:rPr>
          <w:rFonts w:ascii="Arial;sans-serif" w:hAnsi="Arial;sans-serif"/>
          <w:b/>
          <w:color w:val="000000"/>
          <w:sz w:val="20"/>
        </w:rPr>
        <w:t>Second quarter gross margin expanded 80 basis points to 22.3% despite 3.5%</w:t>
      </w:r>
      <w:r>
        <w:rPr>
          <w:color w:val="000000"/>
        </w:rPr>
        <w:t xml:space="preserve"> </w:t>
      </w:r>
      <w:r>
        <w:rPr>
          <w:rFonts w:ascii="Arial;sans-serif" w:hAnsi="Arial;sans-serif"/>
          <w:b/>
          <w:color w:val="000000"/>
          <w:sz w:val="20"/>
        </w:rPr>
        <w:t>lower sales from last year</w:t>
      </w:r>
    </w:p>
    <w:p>
      <w:pPr>
        <w:pStyle w:val="TextBody"/>
        <w:bidi w:val="0"/>
        <w:spacing w:lineRule="auto" w:line="331" w:before="0" w:after="120"/>
        <w:ind w:left="0" w:right="0" w:hanging="360"/>
        <w:jc w:val="both"/>
        <w:rPr/>
      </w:pPr>
      <w:r>
        <w:rPr>
          <w:color w:val="000000"/>
        </w:rPr>
        <w:t>•</w:t>
      </w:r>
      <w:r>
        <w:rPr>
          <w:rFonts w:ascii="Arial;sans-serif" w:hAnsi="Arial;sans-serif"/>
          <w:b/>
          <w:color w:val="000000"/>
          <w:sz w:val="20"/>
        </w:rPr>
        <w:t>First six months gross margin expanded 60 basis points to 21.8% on 7.6% higher sales over last year</w:t>
      </w:r>
    </w:p>
    <w:p>
      <w:pPr>
        <w:pStyle w:val="TextBody"/>
        <w:bidi w:val="0"/>
        <w:spacing w:lineRule="auto" w:line="331" w:before="0" w:after="120"/>
        <w:ind w:left="0" w:right="0" w:hanging="360"/>
        <w:jc w:val="both"/>
        <w:rPr/>
      </w:pPr>
      <w:r>
        <w:rPr>
          <w:color w:val="000000"/>
        </w:rPr>
        <w:t>•</w:t>
      </w:r>
      <w:r>
        <w:rPr>
          <w:rFonts w:ascii="Arial;sans-serif" w:hAnsi="Arial;sans-serif"/>
          <w:b/>
          <w:color w:val="000000"/>
          <w:sz w:val="20"/>
        </w:rPr>
        <w:t>Second quarter net income increased $0.2 million over last year to $3.1 million; Adjusted EBITDA</w:t>
      </w:r>
      <w:r>
        <w:rPr>
          <w:rFonts w:ascii="Arial;sans-serif" w:hAnsi="Arial;sans-serif"/>
          <w:b/>
          <w:color w:val="000000"/>
          <w:sz w:val="13"/>
        </w:rPr>
        <w:t>1</w:t>
      </w:r>
      <w:r>
        <w:rPr>
          <w:color w:val="000000"/>
        </w:rPr>
        <w:t xml:space="preserve"> </w:t>
      </w:r>
      <w:r>
        <w:rPr>
          <w:rFonts w:ascii="Arial;sans-serif" w:hAnsi="Arial;sans-serif"/>
          <w:b/>
          <w:color w:val="000000"/>
          <w:sz w:val="20"/>
        </w:rPr>
        <w:t>of $11.7 million declined $0.6 million, or 4.7%</w:t>
      </w:r>
      <w:r>
        <w:rPr>
          <w:rFonts w:ascii="Arial;sans-serif" w:hAnsi="Arial;sans-serif"/>
          <w:b w:val="false"/>
          <w:color w:val="000000"/>
          <w:sz w:val="20"/>
        </w:rPr>
        <w:t>,</w:t>
      </w:r>
      <w:r>
        <w:rPr>
          <w:color w:val="000000"/>
        </w:rPr>
        <w:t xml:space="preserve"> </w:t>
      </w:r>
      <w:r>
        <w:rPr>
          <w:rFonts w:ascii="Arial;sans-serif" w:hAnsi="Arial;sans-serif"/>
          <w:b/>
          <w:color w:val="000000"/>
          <w:sz w:val="20"/>
        </w:rPr>
        <w:t>from last year</w:t>
      </w:r>
    </w:p>
    <w:p>
      <w:pPr>
        <w:pStyle w:val="TextBody"/>
        <w:bidi w:val="0"/>
        <w:spacing w:lineRule="auto" w:line="331" w:before="120" w:after="120"/>
        <w:ind w:left="0" w:right="0" w:hanging="360"/>
        <w:jc w:val="both"/>
        <w:rPr/>
      </w:pPr>
      <w:r>
        <w:rPr>
          <w:color w:val="000000"/>
        </w:rPr>
        <w:t>•</w:t>
      </w:r>
      <w:r>
        <w:rPr>
          <w:rFonts w:ascii="Arial;sans-serif" w:hAnsi="Arial;sans-serif"/>
          <w:b/>
          <w:color w:val="000000"/>
          <w:sz w:val="20"/>
        </w:rPr>
        <w:t>First six months net income increased $3.8 million over last year to $4.6 million; Adjusted EBITDA</w:t>
      </w:r>
      <w:r>
        <w:rPr>
          <w:rFonts w:ascii="Arial;sans-serif" w:hAnsi="Arial;sans-serif"/>
          <w:b/>
          <w:color w:val="000000"/>
          <w:sz w:val="13"/>
        </w:rPr>
        <w:t>1</w:t>
      </w:r>
      <w:r>
        <w:rPr>
          <w:color w:val="000000"/>
        </w:rPr>
        <w:t xml:space="preserve"> </w:t>
      </w:r>
      <w:r>
        <w:rPr>
          <w:rFonts w:ascii="Arial;sans-serif" w:hAnsi="Arial;sans-serif"/>
          <w:b/>
          <w:color w:val="000000"/>
          <w:sz w:val="20"/>
        </w:rPr>
        <w:t>of $16.8 million increased $2.8 million, or 19.6%, over last year</w:t>
      </w:r>
    </w:p>
    <w:p>
      <w:pPr>
        <w:pStyle w:val="TextBody"/>
        <w:bidi w:val="0"/>
        <w:spacing w:lineRule="auto" w:line="331" w:before="120" w:after="120"/>
        <w:ind w:left="0" w:right="0" w:hanging="360"/>
        <w:jc w:val="both"/>
        <w:rPr/>
      </w:pPr>
      <w:r>
        <w:rPr>
          <w:color w:val="000000"/>
        </w:rPr>
        <w:t>•</w:t>
      </w:r>
      <w:r>
        <w:rPr>
          <w:rFonts w:ascii="Arial;sans-serif" w:hAnsi="Arial;sans-serif"/>
          <w:b/>
          <w:color w:val="000000"/>
          <w:sz w:val="20"/>
        </w:rPr>
        <w:t>Generated quarterly operating cash flow of $17.9 million, improving Gross Leverage Ratio</w:t>
      </w:r>
      <w:r>
        <w:rPr>
          <w:rFonts w:ascii="Arial;sans-serif" w:hAnsi="Arial;sans-serif"/>
          <w:b/>
          <w:color w:val="000000"/>
          <w:sz w:val="13"/>
        </w:rPr>
        <w:t>1</w:t>
      </w:r>
      <w:r>
        <w:rPr>
          <w:color w:val="000000"/>
        </w:rPr>
        <w:t xml:space="preserve"> </w:t>
      </w:r>
      <w:r>
        <w:rPr>
          <w:rFonts w:ascii="Arial;sans-serif" w:hAnsi="Arial;sans-serif"/>
          <w:b/>
          <w:color w:val="000000"/>
          <w:sz w:val="20"/>
        </w:rPr>
        <w:t xml:space="preserve">to 1.0x </w:t>
      </w:r>
    </w:p>
    <w:p>
      <w:pPr>
        <w:pStyle w:val="TextBody"/>
        <w:bidi w:val="0"/>
        <w:spacing w:lineRule="auto" w:line="331" w:before="120" w:after="120"/>
        <w:ind w:left="0" w:right="0" w:hanging="360"/>
        <w:jc w:val="both"/>
        <w:rPr/>
      </w:pPr>
      <w:r>
        <w:rPr>
          <w:color w:val="000000"/>
        </w:rPr>
        <w:t>•</w:t>
      </w:r>
      <w:r>
        <w:rPr>
          <w:rFonts w:ascii="Arial;sans-serif" w:hAnsi="Arial;sans-serif"/>
          <w:b/>
          <w:color w:val="000000"/>
          <w:sz w:val="20"/>
        </w:rPr>
        <w:t>Backlog</w:t>
      </w:r>
      <w:r>
        <w:rPr>
          <w:rFonts w:ascii="Arial;sans-serif" w:hAnsi="Arial;sans-serif"/>
          <w:b/>
          <w:color w:val="000000"/>
          <w:sz w:val="13"/>
        </w:rPr>
        <w:t xml:space="preserve">1 </w:t>
      </w:r>
      <w:r>
        <w:rPr>
          <w:rFonts w:ascii="Arial;sans-serif" w:hAnsi="Arial;sans-serif"/>
          <w:b/>
          <w:color w:val="000000"/>
          <w:sz w:val="20"/>
        </w:rPr>
        <w:t>increased 17.4%</w:t>
      </w:r>
      <w:r>
        <w:rPr>
          <w:color w:val="000000"/>
        </w:rPr>
        <w:t xml:space="preserve"> </w:t>
      </w:r>
      <w:r>
        <w:rPr>
          <w:rFonts w:ascii="Arial;sans-serif" w:hAnsi="Arial;sans-serif"/>
          <w:b/>
          <w:color w:val="000000"/>
          <w:sz w:val="20"/>
        </w:rPr>
        <w:t>during the quarter supporting the Company's reaffirmed 2026 guidance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PITTSBURGH, PA, August 10, 2026 – L.B. Foster Company (Nasdaq: FSTR), a global technology solutions provider of products and services for the rail and infrastructure markets (the "Company"), today reported its 2026 second quarter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Second Quarter 2026 Highlights</w:t>
      </w:r>
    </w:p>
    <w:tbl>
      <w:tblPr>
        <w:tblW w:w="9140" w:type="dxa"/>
        <w:jc w:val="left"/>
        <w:tblInd w:w="0" w:type="dxa"/>
        <w:tblLayout w:type="fixed"/>
        <w:tblCellMar>
          <w:top w:w="28" w:type="dxa"/>
          <w:left w:w="28" w:type="dxa"/>
          <w:bottom w:w="28" w:type="dxa"/>
          <w:right w:w="28" w:type="dxa"/>
        </w:tblCellMar>
      </w:tblPr>
      <w:tblGrid>
        <w:gridCol w:w="1547"/>
        <w:gridCol w:w="1359"/>
        <w:gridCol w:w="1368"/>
        <w:gridCol w:w="109"/>
        <w:gridCol w:w="109"/>
        <w:gridCol w:w="109"/>
        <w:gridCol w:w="211"/>
        <w:gridCol w:w="856"/>
        <w:gridCol w:w="109"/>
        <w:gridCol w:w="109"/>
        <w:gridCol w:w="109"/>
        <w:gridCol w:w="109"/>
        <w:gridCol w:w="211"/>
        <w:gridCol w:w="856"/>
        <w:gridCol w:w="109"/>
        <w:gridCol w:w="109"/>
        <w:gridCol w:w="109"/>
        <w:gridCol w:w="109"/>
        <w:gridCol w:w="109"/>
        <w:gridCol w:w="109"/>
        <w:gridCol w:w="323"/>
        <w:gridCol w:w="277"/>
        <w:gridCol w:w="715"/>
      </w:tblGrid>
      <w:tr>
        <w:trPr/>
        <w:tc>
          <w:tcPr>
            <w:tcW w:w="154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in 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L.B. Foster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Free Cash Flow</w:t>
            </w:r>
            <w:r>
              <w:rPr>
                <w:rFonts w:ascii="Arial;sans-serif" w:hAnsi="Arial;sans-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Gross Leverage Ratio</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(1.2)x</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orders, net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Backlog</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80"/>
        <w:jc w:val="left"/>
        <w:rPr>
          <w:rFonts w:ascii="Arial;sans-serif" w:hAnsi="Arial;sans-serif"/>
          <w:b/>
          <w:color w:val="000000"/>
          <w:sz w:val="20"/>
          <w:u w:val="single"/>
        </w:rPr>
      </w:pPr>
      <w:r>
        <w:rPr>
          <w:rFonts w:ascii="Arial;sans-serif" w:hAnsi="Arial;sans-serif"/>
          <w:b/>
          <w:color w:val="000000"/>
          <w:sz w:val="20"/>
          <w:u w:val="single"/>
        </w:rPr>
        <w:t>Financial Guidance</w:t>
      </w:r>
    </w:p>
    <w:tbl>
      <w:tblPr>
        <w:tblW w:w="7073" w:type="dxa"/>
        <w:jc w:val="left"/>
        <w:tblInd w:w="0" w:type="dxa"/>
        <w:tblLayout w:type="fixed"/>
        <w:tblCellMar>
          <w:top w:w="28" w:type="dxa"/>
          <w:left w:w="28" w:type="dxa"/>
          <w:bottom w:w="28" w:type="dxa"/>
          <w:right w:w="28" w:type="dxa"/>
        </w:tblCellMar>
      </w:tblPr>
      <w:tblGrid>
        <w:gridCol w:w="1248"/>
        <w:gridCol w:w="1098"/>
        <w:gridCol w:w="1104"/>
        <w:gridCol w:w="109"/>
        <w:gridCol w:w="109"/>
        <w:gridCol w:w="109"/>
        <w:gridCol w:w="211"/>
        <w:gridCol w:w="856"/>
        <w:gridCol w:w="286"/>
        <w:gridCol w:w="109"/>
        <w:gridCol w:w="109"/>
        <w:gridCol w:w="109"/>
        <w:gridCol w:w="211"/>
        <w:gridCol w:w="856"/>
        <w:gridCol w:w="286"/>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5"/>
            <w:tcBorders/>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2026 Full Year Financial Guidance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580,000 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spending as a percent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Free Cash Flow</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60" w:after="80"/>
        <w:jc w:val="left"/>
        <w:rPr>
          <w:rFonts w:ascii="Arial;sans-serif" w:hAnsi="Arial;sans-serif"/>
          <w:b/>
          <w:color w:val="000000"/>
          <w:sz w:val="20"/>
          <w:u w:val="single"/>
        </w:rPr>
      </w:pPr>
      <w:r>
        <w:rPr>
          <w:rFonts w:ascii="Arial;sans-serif" w:hAnsi="Arial;sans-serif"/>
          <w:b/>
          <w:color w:val="000000"/>
          <w:sz w:val="20"/>
          <w:u w:val="single"/>
        </w:rPr>
        <w:t>CEO Comments</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John Kasel, President and Chief Executive Officer, commented, "We delivered another solid quarter, with record operating cash flow resulting in a 41.2% reduction in debt from the prior year and a gross leverage ratio declining by over 50% to 1.0x. We started the year with a strong first quarter, with sales growth of 23.9% over last year. Sales for the second quarter were down 3.5% compared to last year; however, year-to-date sales increased 7.6% over the prior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71855"/>
                <wp:effectExtent l="0" t="0" r="0" b="0"/>
                <wp:wrapNone/>
                <wp:docPr id="5" name="Frame4"/>
                <a:graphic xmlns:a="http://schemas.openxmlformats.org/drawingml/2006/main">
                  <a:graphicData uri="http://schemas.microsoft.com/office/word/2010/wordprocessingShape">
                    <wps:wsp>
                      <wps:cNvSpPr txBox="1"/>
                      <wps:spPr>
                        <a:xfrm>
                          <a:off x="0" y="0"/>
                          <a:ext cx="6480175" cy="871855"/>
                        </a:xfrm>
                        <a:prstGeom prst="rect"/>
                        <a:solidFill>
                          <a:srgbClr val="FFFFFF"/>
                        </a:solidFill>
                      </wps:spPr>
                      <wps:txbx>
                        <w:txbxContent>
                          <w:p>
                            <w:pPr>
                              <w:pStyle w:val="TextBody"/>
                              <w:bidi w:val="0"/>
                              <w:spacing w:lineRule="auto" w:line="288" w:before="60" w:after="283"/>
                              <w:jc w:val="both"/>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 xml:space="preserve">See "Non-GAAP Disclosures" at the end of this press release for a description of and information regarding EBITDA, Adjusted EBITDA, gross leverage ratio per the Company's credit agreement, new orders, net, backlog, book-to-bill ratio, free cash flow, and related reconciliations to the comparable United States Generally Accepted Accounting Principles financial measures. </w:t>
                            </w:r>
                            <w:r>
                              <w:br w:type="page"/>
                            </w:r>
                          </w:p>
                          <w:p>
                            <w:pPr>
                              <w:pStyle w:val="TextBody"/>
                              <w:bidi w:val="0"/>
                              <w:spacing w:before="6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both"/>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 xml:space="preserve">See "Non-GAAP Disclosures" at the end of this press release for a description of and information regarding EBITDA, Adjusted EBITDA, gross leverage ratio per the Company's credit agreement, new orders, net, backlog, book-to-bill ratio, free cash flow, and related reconciliations to the comparable United States Generally Accepted Accounting Principles financial measures. </w:t>
                      </w:r>
                    </w:p>
                    <w:p>
                      <w:pPr>
                        <w:pStyle w:val="TextBody"/>
                        <w:bidi w:val="0"/>
                        <w:spacing w:before="60" w:after="283"/>
                        <w:jc w:val="both"/>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year, reflecting continued growth through the first six months of the year. Our business remains well-positioned and the $36.5 million sequential increase in the backlog gives us confidence in the outlook for growth in the second half of the year. Adjusted EBITDA declined 4.7% compared to the prior year quarter, primarily due to higher personnel costs and variable incentive-based compensation costs associated with our strong year-to-date performance. Despite the second quarter decline, year-to-date Adjusted EBITDA improved $2.8 million or 19.6%, compared to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Mr. Kasel continued, "Margin performance expanded across both segments during the quarter. In Rail, Technologies, and Services ("Rail"), gross margins improved 70 bps. The improvement was driven primarily by stronger profitability in Technology Services and Solutions ("TS&amp;S"), as we have refocused the United Kingdom ("UK") business to prioritize shorter-term projects with higher profitability and lower working capital requirements. Furthering our strategic shift in the UK, we announced during the quarter the exit of certain product lines within our Tew Engineering business (the "Tew Exit"), incurring approximately $2.6 million of exit-related costs. Rail Products and Global Friction Management had lower gross profit margin during the quarter due to lower volumes and unfavorable business mix, respectively. Infrastructure Solutions ("Infrastructure") also delivered improved profitability, with margins expanding 80 bps compared to last year as Precast Concrete Products and Steel Products benefited from favorable sales mix and manufacturing efficiency."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Mr. Kasel concluded, "Our second quarter cash generation of $17.9 million enabled us to reduce total debt by $11.7 million during the quarter and by $33.6 million compared to the prior year quarter. As we look to the balance of the year, our backlog of $246.1 million improved 17.4% during the quarter, reflecting robust bidding activity, particularly within our Rail segment. We are encouraged by the level of project opportunities in the pipeline and believe order activity remains supportive of our growth expectations for the balance of the year. Accordingly, we are reaffirming our full-year financial guidance for 2026, with the midpoints for sales and Adjusted EBITDA representing year-over-year growth of 3.7% and 11.3% respectively. Our guidance continues to assume the current geopolitical landscape will not have a significant impact on the domestic economy, as has been the case thus far. We remain focused on executing our strategy and we are confident in our ability to manage the business in a volatile environment should it develop."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Second Quarter 2026 Consolidated Results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second quarter performance highlights are reflected below:</w:t>
      </w:r>
    </w:p>
    <w:tbl>
      <w:tblPr>
        <w:tblW w:w="10205" w:type="dxa"/>
        <w:jc w:val="left"/>
        <w:tblInd w:w="0" w:type="dxa"/>
        <w:tblLayout w:type="fixed"/>
        <w:tblCellMar>
          <w:top w:w="28" w:type="dxa"/>
          <w:left w:w="28" w:type="dxa"/>
          <w:bottom w:w="28" w:type="dxa"/>
          <w:right w:w="28" w:type="dxa"/>
        </w:tblCellMar>
      </w:tblPr>
      <w:tblGrid>
        <w:gridCol w:w="1481"/>
        <w:gridCol w:w="1180"/>
        <w:gridCol w:w="1188"/>
        <w:gridCol w:w="109"/>
        <w:gridCol w:w="109"/>
        <w:gridCol w:w="109"/>
        <w:gridCol w:w="211"/>
        <w:gridCol w:w="856"/>
        <w:gridCol w:w="286"/>
        <w:gridCol w:w="109"/>
        <w:gridCol w:w="109"/>
        <w:gridCol w:w="109"/>
        <w:gridCol w:w="211"/>
        <w:gridCol w:w="856"/>
        <w:gridCol w:w="286"/>
        <w:gridCol w:w="109"/>
        <w:gridCol w:w="109"/>
        <w:gridCol w:w="109"/>
        <w:gridCol w:w="226"/>
        <w:gridCol w:w="737"/>
        <w:gridCol w:w="116"/>
        <w:gridCol w:w="109"/>
        <w:gridCol w:w="109"/>
        <w:gridCol w:w="109"/>
        <w:gridCol w:w="330"/>
        <w:gridCol w:w="249"/>
        <w:gridCol w:w="684"/>
      </w:tblGrid>
      <w:tr>
        <w:trPr/>
        <w:tc>
          <w:tcPr>
            <w:tcW w:w="148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 Change</w:t>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in 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68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68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administrative expenses as a percent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6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orders, net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176,076 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Backlog</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sales for the 2026 second quarter decreased $5.0 million, or 3.5%, from the prior year quarter, driven by lower sales in both segments. Rail declined $4.0 million, or 5.2%, while Infrastructure declined $1.0 million, or 1.5%.</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Arial;sans-serif" w:hAnsi="Arial;sans-serif"/>
          <w:b w:val="false"/>
          <w:color w:val="000000"/>
          <w:sz w:val="20"/>
        </w:rPr>
        <w:t xml:space="preserve">Gross profit for the 2026 second quarter was flat compared to the prior year quarter. Rail gross profit declined $0.3 million, as benefits from favorable business mix were offset by $2.1 million of costs associated with the Tew Exit, compared to $1.1 million of costs associated with the exit of the UK Automation and Materials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Handling product line (the "AMH Exit") in the prior year quarter. Infrastructure gross profit improved $0.3 million driven by favorable business mix. Gross margins improved 80 basis points to 22.3%.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Selling and administrative expenses for the 2026 second quarter increased $1.7 million, or 7.7%, over the prior year quarter, primarily due to increased employment costs, including higher variable incentive-based compensation costs. Selling and administrative expenses as a percentage of net sales increased 180 basis points to 17.4%.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Operating income for the 2026 second quarter decreased $1.5 million, or 19.9%, from the prior year quarter. The decline was driven by higher exit costs and selling and administrative expenses offset in part by favorable gross profit business mix and lower amortization expense.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income attributable to the Company for the 2026 second quarter improved $0.2 million, or 7.9%, over the prior year quarter due reduced interest expense and a lower effective income tax rate.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 for the 2026 second quarter decreased $0.6 million, or 4.7%, from the prior year quarter. Adjusted EBITDA for the second quarter of 2026 was adjusted for $2.6 million of costs primarily associated with the Tew Exit, while the second quarter of 2025 was adjusted for $1.4 million of costs associated with the AMH Exit.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Cash provided by operating activities totaled $17.9 million in the 2026 second quarter, favorable $7.5 million compared to $10.4 million in the prior year quarter.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Total debt as of June 30, 2026 was $48.0 million, decreasing by $33.6 million from the prior year quarter and by $11.7 million during the quarter. The reduction is due to strong Free Cash Flow generation and lower working capital requirements during the period. The Company's Gross Leverage Ratio per its credit facility was 1.0x as of June 30, 2026, down from 2.2x last year, reflecting higher profitability and disciplined capital deployment.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New orders, net for the 2026 second quarter increased $0.3 million, or 0.2%, over the prior year quarter, driven by growth of 4.0% in Infrastructure, partially offset by a decline of 1.9% in Rail. The trailing twelve month book-to-bill ratio</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was 0.96 : 1.00. Backlog decreased $23.8 million, or 8.8%, from the prior year quarter driven primarily from an order cancellation last year in Infrastructure and lower backlog in Precast Concrete Products ("Precast"). This was partially offset by an 8.2% increase in Rail backlog. Backlog increased $36.5 million, or 17.4%, during the quarter driven by orders activity in Rail. </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Second Quarter 2026 Business Results by Segment</w:t>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Rail, Technologies, and Services Segment</w:t>
      </w:r>
    </w:p>
    <w:tbl>
      <w:tblPr>
        <w:tblW w:w="9649" w:type="dxa"/>
        <w:jc w:val="left"/>
        <w:tblInd w:w="0" w:type="dxa"/>
        <w:tblLayout w:type="fixed"/>
        <w:tblCellMar>
          <w:top w:w="28" w:type="dxa"/>
          <w:left w:w="28" w:type="dxa"/>
          <w:bottom w:w="28" w:type="dxa"/>
          <w:right w:w="28" w:type="dxa"/>
        </w:tblCellMar>
      </w:tblPr>
      <w:tblGrid>
        <w:gridCol w:w="1118"/>
        <w:gridCol w:w="982"/>
        <w:gridCol w:w="989"/>
        <w:gridCol w:w="109"/>
        <w:gridCol w:w="109"/>
        <w:gridCol w:w="109"/>
        <w:gridCol w:w="211"/>
        <w:gridCol w:w="856"/>
        <w:gridCol w:w="286"/>
        <w:gridCol w:w="109"/>
        <w:gridCol w:w="109"/>
        <w:gridCol w:w="109"/>
        <w:gridCol w:w="211"/>
        <w:gridCol w:w="856"/>
        <w:gridCol w:w="286"/>
        <w:gridCol w:w="109"/>
        <w:gridCol w:w="109"/>
        <w:gridCol w:w="109"/>
        <w:gridCol w:w="224"/>
        <w:gridCol w:w="800"/>
        <w:gridCol w:w="116"/>
        <w:gridCol w:w="109"/>
        <w:gridCol w:w="109"/>
        <w:gridCol w:w="109"/>
        <w:gridCol w:w="332"/>
        <w:gridCol w:w="268"/>
        <w:gridCol w:w="806"/>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 Change</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72,012 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75,973 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(3,961)</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80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New orders, net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Backlog</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sales for the 2026 second quarter decreased $4.0 million, or 5.2%, from the prior year quarter. Rail Products net sales declined $13.0 million, or 27.3%, primarily due to the timing of large orders. This decline was partially offset by an increase of $3.7 million, or 18.1%, in Global Friction Management driven by strong domestic demand and an increase of $5.3 million, or 66.9%, in TS&amp;S driven by short-term project work in the UK.</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605" cy="14605"/>
                <wp:effectExtent l="0" t="0" r="0" b="0"/>
                <wp:wrapNone/>
                <wp:docPr id="7" name="Frame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Gross profit for the 2026 second quarter decreased $0.3 million, or 2.1%, from the prior year quarter, primarily due to lower sales volumes in Rail Products, which impacted gross profit by $2.2 million. Partially offsetting this decline were gross profit improvements of $0.6 million in Global Friction Management, driven by higher sales volumes, and $1.2 million in TS&amp;S, reflecting favorable business mix. TS&amp;S incurred $2.1 million of costs associated with the Tew Exit in the current period compared to $1.1 million of costs associated with the AMH Exit in the prior year quarter. Gross profit margins improved 70 basis points to 20.6% reflecting improved business mix.</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Segment operating income for the 2026 second quarter decreased $0.8 million, or 20.2%, from the prior year quarter driven by the decline in gross profit coupled with higher selling and administrative expenses.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New orders, net for the 2026 second quarter decreased $2.1 million, or 1.9%, from the prior year quarter primarily due to timing of large orders associated with Rail Products which declined 20.0%. Global Friction Management and TS&amp;S improved 27.8% and 126.4%, respectively. The trailing twelve month book-to-bill ratio</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1.03 : 1.00. Backlog increased $10.7 million over the prior year quarter due primarily to a large order received in our UK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Infrastructure Solutions Segment</w:t>
      </w:r>
    </w:p>
    <w:tbl>
      <w:tblPr>
        <w:tblW w:w="9648" w:type="dxa"/>
        <w:jc w:val="left"/>
        <w:tblInd w:w="0" w:type="dxa"/>
        <w:tblLayout w:type="fixed"/>
        <w:tblCellMar>
          <w:top w:w="28" w:type="dxa"/>
          <w:left w:w="28" w:type="dxa"/>
          <w:bottom w:w="28" w:type="dxa"/>
          <w:right w:w="28" w:type="dxa"/>
        </w:tblCellMar>
      </w:tblPr>
      <w:tblGrid>
        <w:gridCol w:w="1118"/>
        <w:gridCol w:w="982"/>
        <w:gridCol w:w="989"/>
        <w:gridCol w:w="109"/>
        <w:gridCol w:w="109"/>
        <w:gridCol w:w="109"/>
        <w:gridCol w:w="211"/>
        <w:gridCol w:w="856"/>
        <w:gridCol w:w="286"/>
        <w:gridCol w:w="109"/>
        <w:gridCol w:w="109"/>
        <w:gridCol w:w="109"/>
        <w:gridCol w:w="211"/>
        <w:gridCol w:w="856"/>
        <w:gridCol w:w="286"/>
        <w:gridCol w:w="109"/>
        <w:gridCol w:w="109"/>
        <w:gridCol w:w="109"/>
        <w:gridCol w:w="212"/>
        <w:gridCol w:w="818"/>
        <w:gridCol w:w="109"/>
        <w:gridCol w:w="109"/>
        <w:gridCol w:w="109"/>
        <w:gridCol w:w="109"/>
        <w:gridCol w:w="332"/>
        <w:gridCol w:w="268"/>
        <w:gridCol w:w="806"/>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 Change</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in 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66,538 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80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New orders, net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Backlog</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sales for the 2026 second quarter decreased $1.0 million, or 1.5%, from the prior year quarter. The decline was driven by $2.0 million, or 9.3%, in Steel Products, which was partially offset by sales growth of $0.9 million, or 2.1%, in Precast.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Gross profit for the 2026 second quarter increased $0.3 million, or 1.9%, over the prior year quarter. Precast gross profit improved $0.6 million due to improved business mix. Steel Products gross profit declined $0.3 million due to lower sales volumes. Gross profit margins improved 80 basis points to 24.1%.</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Segment operating income for the 2026 second quarter declined $0.2 million from the prior year quarter due to an increase in selling and administrative expenses offset in part by improved gross profit.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New orders, net for the 2026 second quarter increased $2.5 million, or 4.0%, over the prior year quarter, due primarily to a 73.3% increase in Steel Products stemming from strong Protective Coatings demand. This was partially offset by a 15.4% decrease in Precast. The trailing twelve month book-to-bill ratio</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was 0.85 : 1.00, which included a large order cancellation last year. Backlog was down $34.5 million from the prior year quarter due to the order cancellation in the Steel Products business coupled with a decline of 17.1% in Precast. </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First Six Months Consolidated Highlights</w:t>
      </w:r>
    </w:p>
    <w:tbl>
      <w:tblPr>
        <w:tblW w:w="10205" w:type="dxa"/>
        <w:jc w:val="left"/>
        <w:tblInd w:w="0" w:type="dxa"/>
        <w:tblLayout w:type="fixed"/>
        <w:tblCellMar>
          <w:top w:w="28" w:type="dxa"/>
          <w:left w:w="28" w:type="dxa"/>
          <w:bottom w:w="28" w:type="dxa"/>
          <w:right w:w="28" w:type="dxa"/>
        </w:tblCellMar>
      </w:tblPr>
      <w:tblGrid>
        <w:gridCol w:w="1487"/>
        <w:gridCol w:w="1188"/>
        <w:gridCol w:w="1195"/>
        <w:gridCol w:w="109"/>
        <w:gridCol w:w="109"/>
        <w:gridCol w:w="109"/>
        <w:gridCol w:w="211"/>
        <w:gridCol w:w="856"/>
        <w:gridCol w:w="286"/>
        <w:gridCol w:w="109"/>
        <w:gridCol w:w="109"/>
        <w:gridCol w:w="109"/>
        <w:gridCol w:w="211"/>
        <w:gridCol w:w="856"/>
        <w:gridCol w:w="286"/>
        <w:gridCol w:w="109"/>
        <w:gridCol w:w="109"/>
        <w:gridCol w:w="109"/>
        <w:gridCol w:w="219"/>
        <w:gridCol w:w="783"/>
        <w:gridCol w:w="113"/>
        <w:gridCol w:w="109"/>
        <w:gridCol w:w="109"/>
        <w:gridCol w:w="109"/>
        <w:gridCol w:w="312"/>
        <w:gridCol w:w="267"/>
        <w:gridCol w:w="627"/>
      </w:tblGrid>
      <w:tr>
        <w:trPr/>
        <w:tc>
          <w:tcPr>
            <w:tcW w:w="148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Percent</w:t>
              <w:br/>
              <w:t>Change</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in 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administrative expenses as a percent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L.B. Foster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New orders, net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318,162 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324,820 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Backlog</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8" w:before="0" w:after="0"/>
        <w:jc w:val="both"/>
        <w:rPr>
          <w:rFonts w:ascii="Arial;sans-serif" w:hAnsi="Arial;sans-serif"/>
          <w:b w:val="false"/>
          <w:i/>
          <w:color w:val="000000"/>
          <w:sz w:val="14"/>
        </w:rPr>
      </w:pPr>
      <w:r>
        <w:rPr>
          <w:rFonts w:ascii="Arial;sans-serif" w:hAnsi="Arial;sans-serif"/>
          <w:b w:val="false"/>
          <w:i/>
          <w:color w:val="000000"/>
          <w:sz w:val="14"/>
        </w:rPr>
        <w:t>**Results of this calculation are not meaningful for presentation purposes.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sales for the first six months of 2026 increased $18.3 million, or 7.6%, over the prior year period. The increase was driven by Rail sales growth of $16.8 million, or 12.9%, led by Global Friction Management and TS&amp;S which increased $9.8 million, or 27.4%, and $8.0 million, or 46.7%, respectively. Rail Products modestly declined $1.0 million, or 1.4%, due to the timing of large orders. Infrastructure sales improved $1.5 million, or 1.4%. The improvement was driven primarily by Precast with sales growth of $5.8 million, or 7.8%, offset in part by Steel Products which declined $4.2 million, or 11.5%.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Gross profit for the first six months of 2026 increased $5.5 million, or 10.8%, over the prior year period driven by improved volumes and business mix in Rail which increased $3.8 million. Rail gross profit for the first six months of 2026 includes $2.1 million of Tew Exit costs and for the first six months of 2025 includes $1.1 million of AMH Exit costs. Infrastructure gross profit improved $1.7 million due to favorable business mix and manufacturing efficiency. Gross margins improved 60 basis points to 21.8%.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Selling and administrative expenses for the first six months of 2026 increased $3.8 million, or 8.8%, over the prior year period, primarily due to higher employment costs including higher variable incentive-based compensation costs, and a $0.5 million accelerated non-cash stock compensation expense related to management equity plan awards made to retirement-eligible employees. Selling and administrative expenses for the first six months of 2026 included $0.5 million of costs primarily related to the Tew Exit compared to the first six months of 2025 which included $0.3 million of AMH Exit costs. Selling and administrative expenses as a percentage of net sales increased 20 basis points to 18.2%.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Operating income for the first six months of 2026 improved $2.4 million over the prior year period. The improvement was primarily driven by higher gross profit, and lower amortization expense partially offset by an increase in selling and administrative expenses.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Net income attributable to the Company for the first six months of 2026 improved $3.8 million over the prior year period driven by higher operating income, reduced interest expense, and a lower effective income tax rate.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 for the first six months of 2026 improved $2.8 million, 19.6%, over the prior year period and was adjusted for $2.6 million of costs primarily associated with the Tew Exit. The first six months of 2025 was adjusted for the $1.4 million of costs associated with the AMH Exit.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Cash provided by operating activities totaled $7.4 million for the first six months of 2026, a $23.2 million improvement compared to cash used in operating activities of $15.7 million in the prior year period.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New orders, net for the first six months of 2026 decreased $6.7 million, or 2.0%, from the prior year period, with declines realized in both segments.</w:t>
      </w:r>
    </w:p>
    <w:p>
      <w:pPr>
        <w:pStyle w:val="TextBody"/>
        <w:bidi w:val="0"/>
        <w:spacing w:before="0" w:after="0"/>
        <w:jc w:val="both"/>
        <w:rPr/>
      </w:pPr>
      <w:r>
        <w:rPr/>
      </w:r>
    </w:p>
    <w:p>
      <w:pPr>
        <w:pStyle w:val="TextBody"/>
        <w:bidi w:val="0"/>
        <w:spacing w:lineRule="auto" w:line="268" w:before="0" w:after="120"/>
        <w:jc w:val="left"/>
        <w:rPr>
          <w:rFonts w:ascii="Arial;sans-serif" w:hAnsi="Arial;sans-serif"/>
          <w:b/>
          <w:color w:val="000000"/>
          <w:sz w:val="20"/>
          <w:u w:val="single"/>
        </w:rPr>
      </w:pPr>
      <w:r>
        <w:rPr>
          <w:rFonts w:ascii="Arial;sans-serif" w:hAnsi="Arial;sans-serif"/>
          <w:b/>
          <w:color w:val="000000"/>
          <w:sz w:val="20"/>
          <w:u w:val="single"/>
        </w:rPr>
        <w:t>Second Quarter Conference Call</w:t>
      </w:r>
    </w:p>
    <w:p>
      <w:pPr>
        <w:pStyle w:val="TextBody"/>
        <w:bidi w:val="0"/>
        <w:spacing w:lineRule="auto" w:line="288" w:before="0" w:after="0"/>
        <w:jc w:val="both"/>
        <w:rPr/>
      </w:pPr>
      <w:r>
        <w:rPr>
          <w:rFonts w:ascii="Arial;sans-serif" w:hAnsi="Arial;sans-serif"/>
          <w:b w:val="false"/>
          <w:color w:val="000000"/>
          <w:sz w:val="20"/>
        </w:rPr>
        <w:t xml:space="preserve">L.B. Foster Company will conduct a conference call and webcast to discuss its second quarter 2026 operating results on Monday, August 10, 2026 at 8:30 AM ET. The call will be hosted by Mr. John Kasel, President and Chief Executive Officer. Listen via audio and access the slide presentation on the L.B. Foster website: </w:t>
      </w:r>
      <w:r>
        <w:rPr>
          <w:rFonts w:ascii="Arial;sans-serif" w:hAnsi="Arial;sans-serif"/>
          <w:b w:val="false"/>
          <w:color w:val="000000"/>
          <w:sz w:val="20"/>
          <w:u w:val="single"/>
        </w:rPr>
        <w:t>www.lbfoster.com</w:t>
      </w:r>
      <w:r>
        <w:rPr>
          <w:rFonts w:ascii="Arial;sans-serif" w:hAnsi="Arial;sans-serif"/>
          <w:b w:val="false"/>
          <w:color w:val="000000"/>
          <w:sz w:val="20"/>
        </w:rPr>
        <w:t>, under the Investor Relations page. A conference call replay will be available through August 17, 2026 via webcast through L.B. Foster’s Investor Relations page of the company’s website.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Those interested in participating in the question-and-answer session may register for the call at https://register-conf.media-server.com/register/BIdea38bbc6c734820bb921a17baf8c605 to receive the dial-in numbers and unique PIN to access the call. The registration link will also be available on the Company’s Investor Relations page of its website.</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About L.B. Foster Company</w:t>
      </w:r>
    </w:p>
    <w:p>
      <w:pPr>
        <w:pStyle w:val="TextBody"/>
        <w:bidi w:val="0"/>
        <w:spacing w:lineRule="auto" w:line="288" w:before="0" w:after="0"/>
        <w:jc w:val="both"/>
        <w:rPr/>
      </w:pPr>
      <w:r>
        <w:rPr>
          <w:rFonts w:ascii="Arial;sans-serif" w:hAnsi="Arial;sans-serif"/>
          <w:b w:val="false"/>
          <w:color w:val="000000"/>
          <w:sz w:val="20"/>
        </w:rPr>
        <w:t xml:space="preserve">Founded in 1902, L.B. Foster Company is a global technology solutions provider of products and services for the rail and infrastructure markets. The Company’s innovative engineering and product development solutions address the safety, reliability, and performance needs of its customers' most challenging requirements. The Company maintains locations in North America, South America, Europe, and Asia. For more information, please visit </w:t>
      </w:r>
      <w:r>
        <w:rPr>
          <w:rFonts w:ascii="Arial;sans-serif" w:hAnsi="Arial;sans-serif"/>
          <w:b w:val="false"/>
          <w:color w:val="000000"/>
          <w:sz w:val="20"/>
          <w:u w:val="single"/>
        </w:rPr>
        <w:t>www.lbfoster.com</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Non-GAAP Financial Measures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contains financial measures that are not calculated and presented in accordance with generally accepted accounting principles in the United States ("GAAP"). These non-GAAP financial measures are provided as additional information for investors. The presentation of this additional information is not meant to be considered in isolation or as a substitute for GAAP measures. For definitions of the non-GAAP financial measures used in this press release and reconciliations to the most directly comparable respective GAAP measures, see the “Non-GAAP Disclosures” section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not reconciled the forward-looking Adjusted EBITDA and Free Cash Flow to the most directly comparable GAAP measure because this cannot be done without unreasonable effort due to the variability and low visibility with respect to certain costs, the most significant of which are acquisition and divestiture-related costs, impairment expense, and changes in operating assets and liabilities. These underlying expenses and others that may arise during the year are potential adjustments to future earnings. The Company expects the variability of these items to have a potentially unpredictable, and a potentially significant, impact on our future GAAP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believes Free Cash Flow is useful information to investors as it provides insight on cash generated by operations, less capital expenditures, which we believe to be helpful in assessing the Company's long-term ability to pursue growth and investment opportunities as well as service its financing obligations and generate capital for shareholders. Additionally, the Company's annual incentive plans for management provide for the utilization of Free Cash Flow as a metric for measuring cash-generation performance in determining annual variable incentive achievement.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The Company defines new orders, net as a contractual agreement between the Company and a third-party in which the Company will, or has the ability to, satisfy the performance obligations of the promised products or services under the terms of the agreement net of order cancellations incurred during the period. The Company defines backlog as contractual commitments to customers for which the Company’s performance obligations have not been met, including with respect to new orders and contracts for which the Company has not begun any performance. Backlog may not be indicative of future operating results as orders may be cancelled or modified by the customer. Management utilizes new orders and backlog to evaluate the health of the industries in which the Company operates, the Company’s current and future results of operations and financial prospects, and strategies for business development. The Company believes that new orders, net and backlog are useful to investors as supplemental metrics by which to measure the Company’s current performance and prospective results of operations and financial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performance. The Company defines book-to-bill ratio as new orders, net divided by revenue. The Company believes this is a useful metric to assess supply and demand, including order strength versus order fulfillment.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views its Gross Leverage Ratio per its credit agreement, as defined in the Fifth Amended and Restated Credit Agreement dated June 27, 2025, as an important indication of the Company's financial health and believes it is useful to investors as an indicator of the Company's ability to service its existing indebtedness and borrow additional funds for its operational and investing needs, including capital expenditures and acquisitions.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lineRule="auto" w:line="288" w:before="60" w:after="283"/>
        <w:jc w:val="both"/>
        <w:rPr>
          <w:rFonts w:ascii="Arial;sans-serif" w:hAnsi="Arial;sans-serif"/>
          <w:b w:val="false"/>
          <w:i/>
          <w:color w:val="000000"/>
          <w:sz w:val="17"/>
        </w:rPr>
      </w:pPr>
      <w:r>
        <w:rPr>
          <w:rFonts w:ascii="Arial;sans-serif" w:hAnsi="Arial;sans-serif"/>
          <w:b w:val="false"/>
          <w:i/>
          <w:color w:val="000000"/>
          <w:sz w:val="17"/>
        </w:rPr>
        <w:t>This release may contain “forward-looking” statements within the meaning of Section 21E of the Securities Exchange Act of 1934, as amended, and Section 27A of the Securities Act of 1933, as amended.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earnings release are based on management's current expectations and assumptions about future events that involve inherent risks and uncertainties and may concern, among other things, the Company’s expectations relating to our strategy, goals, projections, valuations and impairments, and plans regarding our financial position, liquidity, capital resources,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adverse economic conditions in the markets we serve, including recession, the volatility in the prices for oil and gas, tariffs, duties or trade wars, inflation, rising labor costs, project delays, and budget shortfalls, or otherwise; the disruption of government funding programs as a result of potential periodic government shutdowns;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a decrease in construction activity; environmental matters and the impact of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the imposition of increased or new tariffs, and trade restrictions or embargoes, or uncertainties relating to the imposition and enforcement of tariffs; our ability to timely effectuate our strategy, including cost reduction initiatives, including but not limited to the exit of certain product lines in the UK-based Tew Engineering business, and our ability to effectively integrate acquired businesses or to divest businesses, and to realize anticipated synergies and benefits; costs of and impacts associated with shareholder activism; the timeliness, cost, and availability of materials from our major suppliers, as well as the impact on our access to supplies of customer preferences as to the origin of such supplies, such as customers’ concerns about conflict minerals; labor disputes; emerging technologies, including those related to or arising from artificial intelligence, and resultant risks to our business and operations; cybersecurity risks such as data security breaches, malware, ransomware, “hacking,” and identity theft, either with respect to our systems or those of third parties on whom we rely,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and disclosure controls and procedures; any change in policy or other change due to the results of the UK’s parliamentary elections and the U.S. presidential and congressional elections that could affect UK or US business conditions; other geopolitical conditions, including the ongoing conflicts between Russia and Ukraine, conflicts in the Middle East, and increasing tensions between China and Taiwan; a lack of, freezing of, or delay in state or federal funding for infrastructure projects; an increase in manufacturing or material costs, including volatility in steel prices, oil prices, and wage inflation;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 for the year ended December 31, 2025, or as updated and/or amended by our other current or periodic filings with the Securities and Exchange Commission.</w:t>
      </w:r>
    </w:p>
    <w:p>
      <w:pPr>
        <w:pStyle w:val="TextBody"/>
        <w:bidi w:val="0"/>
        <w:spacing w:lineRule="auto" w:line="288" w:before="120" w:after="180"/>
        <w:jc w:val="both"/>
        <w:rPr>
          <w:rFonts w:ascii="Arial;sans-serif" w:hAnsi="Arial;sans-serif"/>
          <w:b w:val="false"/>
          <w:i/>
          <w:color w:val="000000"/>
          <w:sz w:val="17"/>
        </w:rPr>
      </w:pPr>
      <w:r>
        <w:rPr>
          <w:rFonts w:ascii="Arial;sans-serif" w:hAnsi="Arial;sans-serif"/>
          <w:b w:val="false"/>
          <w:i/>
          <w:color w:val="000000"/>
          <w:sz w:val="17"/>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pStyle w:val="TextBody"/>
        <w:bidi w:val="0"/>
        <w:spacing w:lineRule="auto" w:line="288" w:before="40" w:after="283"/>
        <w:jc w:val="both"/>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Lisa Durante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412-928-3400, and follow the prompts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investors@lbfoster.com</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L.B. Foster Company</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415 Holiday Drive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Suite 100</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Pittsburgh, PA 15220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L.B. FOSTER COMPANY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552"/>
        <w:gridCol w:w="1313"/>
        <w:gridCol w:w="1281"/>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55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053" w:type="dxa"/>
            <w:gridSpan w:val="12"/>
            <w:tcBorders/>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190,299 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43,334 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L.B. Foster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data attributable to L.B. Foster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L.B. FOSTER COMPANY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7940" w:type="dxa"/>
        <w:jc w:val="center"/>
        <w:tblInd w:w="0" w:type="dxa"/>
        <w:tblLayout w:type="fixed"/>
        <w:tblCellMar>
          <w:top w:w="28" w:type="dxa"/>
          <w:left w:w="28" w:type="dxa"/>
          <w:bottom w:w="28" w:type="dxa"/>
          <w:right w:w="28" w:type="dxa"/>
        </w:tblCellMar>
      </w:tblPr>
      <w:tblGrid>
        <w:gridCol w:w="1773"/>
        <w:gridCol w:w="1553"/>
        <w:gridCol w:w="1563"/>
        <w:gridCol w:w="109"/>
        <w:gridCol w:w="109"/>
        <w:gridCol w:w="109"/>
        <w:gridCol w:w="211"/>
        <w:gridCol w:w="856"/>
        <w:gridCol w:w="109"/>
        <w:gridCol w:w="109"/>
        <w:gridCol w:w="109"/>
        <w:gridCol w:w="109"/>
        <w:gridCol w:w="211"/>
        <w:gridCol w:w="856"/>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330,372 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L.B. Foster Company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334,155 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330,372 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Disclosures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earnings release discloses earnings before interest, taxes, depreciation, and amortization (“EBITDA”), Adjusted EBITDA, and Free Cash Flow. The Company believes that EBITDA is useful to investors as a supplemental way to evaluate the ongoing operations of the Company’s business since EBITDA may enhance investors’ ability to compare historical periods as it adjusts for the impact of financing methods, tax law and strategy changes, and depreciation and amortization. In addition, EBITDA is a financial measure that management and the Company’s Board of Directors use in their financial and operational decision-making and in the determination of certain compensation programs. Adjusted EBITDA adjusts for certain charges to EBITDA from continuing operations that the Company believes are unusual, non-recurring, unpredictable, or non-cash.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three and six months ended June 30, 2026, the Company made adjustments to exclude costs primarily associated with the Tew Exit. In the three and six months ended June 30, 2025, the Company made adjustments to exclude AMH Exit costs. The Company believes the results adjusted to exclude these items are useful to investors as these items are non-routine in nature.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Non-GAAP financial measures are not a substitute for GAAP financial results and should only be considered in conjunction with the Company’s financial information that is presented in accordance with GAAP. The following tables present quantitative reconciliations of EBITDA, Adjusted EBITDA, and Free Cash Flow (in thousands):</w:t>
      </w:r>
    </w:p>
    <w:p>
      <w:pPr>
        <w:pStyle w:val="TextBody"/>
        <w:bidi w:val="0"/>
        <w:spacing w:before="0" w:after="0"/>
        <w:jc w:val="both"/>
        <w:rPr/>
      </w:pPr>
      <w:r>
        <w:rPr/>
      </w:r>
    </w:p>
    <w:tbl>
      <w:tblPr>
        <w:tblW w:w="8756" w:type="dxa"/>
        <w:jc w:val="left"/>
        <w:tblInd w:w="0" w:type="dxa"/>
        <w:tblLayout w:type="fixed"/>
        <w:tblCellMar>
          <w:top w:w="28" w:type="dxa"/>
          <w:left w:w="28" w:type="dxa"/>
          <w:bottom w:w="28" w:type="dxa"/>
          <w:right w:w="28" w:type="dxa"/>
        </w:tblCellMar>
      </w:tblPr>
      <w:tblGrid>
        <w:gridCol w:w="1129"/>
        <w:gridCol w:w="994"/>
        <w:gridCol w:w="996"/>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br/>
              <w:t>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2841" w:type="dxa"/>
            <w:gridSpan w:val="12"/>
            <w:tcBorders/>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AMH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Tew Exit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586" w:type="dxa"/>
        <w:jc w:val="center"/>
        <w:tblInd w:w="0" w:type="dxa"/>
        <w:tblLayout w:type="fixed"/>
        <w:tblCellMar>
          <w:top w:w="28" w:type="dxa"/>
          <w:left w:w="28" w:type="dxa"/>
          <w:bottom w:w="28" w:type="dxa"/>
          <w:right w:w="28" w:type="dxa"/>
        </w:tblCellMar>
      </w:tblPr>
      <w:tblGrid>
        <w:gridCol w:w="1921"/>
        <w:gridCol w:w="1692"/>
        <w:gridCol w:w="1696"/>
        <w:gridCol w:w="109"/>
        <w:gridCol w:w="109"/>
        <w:gridCol w:w="109"/>
        <w:gridCol w:w="211"/>
        <w:gridCol w:w="751"/>
        <w:gridCol w:w="109"/>
        <w:gridCol w:w="109"/>
        <w:gridCol w:w="109"/>
        <w:gridCol w:w="109"/>
        <w:gridCol w:w="211"/>
        <w:gridCol w:w="751"/>
        <w:gridCol w:w="109"/>
        <w:gridCol w:w="109"/>
        <w:gridCol w:w="109"/>
        <w:gridCol w:w="109"/>
        <w:gridCol w:w="154"/>
      </w:tblGrid>
      <w:tr>
        <w:trPr/>
        <w:tc>
          <w:tcPr>
            <w:tcW w:w="192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Free Cash Flow Reconciliation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 expenditures on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5866</Words>
  <Characters>32536</Characters>
  <CharactersWithSpaces>37901</CharactersWithSpaces>
  <Paragraphs>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