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November 4, 2026</w:t>
      </w:r>
    </w:p>
    <w:p>
      <w:pPr>
        <w:ind w:left="734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226695</wp:posOffset>
            </wp:positionH>
            <wp:positionV relativeFrom="paragraph">
              <wp:posOffset>33020</wp:posOffset>
            </wp:positionV>
            <wp:extent cx="527304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3040" cy="6350"/>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64770</wp:posOffset>
            </wp:positionV>
            <wp:extent cx="52730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3040" cy="6350"/>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168910</wp:posOffset>
            </wp:positionV>
            <wp:extent cx="11049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168910</wp:posOffset>
            </wp:positionV>
            <wp:extent cx="11049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L.B. FOSTER COMPANY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168275</wp:posOffset>
            </wp:positionV>
            <wp:extent cx="11049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tbl>
      <w:tblPr>
        <w:tblLayout w:type="fixed"/>
        <w:tblInd w:w="1820" w:type="dxa"/>
        <w:tblCellMar>
          <w:top w:w="0" w:type="dxa"/>
          <w:left w:w="0" w:type="dxa"/>
          <w:bottom w:w="0" w:type="dxa"/>
          <w:right w:w="0" w:type="dxa"/>
        </w:tblCellMar>
      </w:tblPr>
      <w:tr>
        <w:trPr>
          <w:trHeight w:val="126"/>
        </w:trPr>
        <w:tc>
          <w:tcPr>
            <w:tcW w:w="2800" w:type="dxa"/>
            <w:vAlign w:val="bottom"/>
          </w:tcPr>
          <w:p>
            <w:pPr>
              <w:jc w:val="center"/>
              <w:ind w:right="1490"/>
              <w:spacing w:after="0"/>
              <w:rPr>
                <w:sz w:val="20"/>
                <w:szCs w:val="20"/>
                <w:color w:val="auto"/>
              </w:rPr>
            </w:pPr>
            <w:r>
              <w:rPr>
                <w:rFonts w:ascii="Times New Roman" w:cs="Times New Roman" w:eastAsia="Times New Roman" w:hAnsi="Times New Roman"/>
                <w:sz w:val="11"/>
                <w:szCs w:val="11"/>
                <w:b w:val="1"/>
                <w:bCs w:val="1"/>
                <w:color w:val="auto"/>
                <w:w w:val="99"/>
              </w:rPr>
              <w:t>Pennsylvania</w:t>
            </w:r>
          </w:p>
        </w:tc>
        <w:tc>
          <w:tcPr>
            <w:tcW w:w="2500" w:type="dxa"/>
            <w:vAlign w:val="bottom"/>
          </w:tcPr>
          <w:p>
            <w:pPr>
              <w:jc w:val="center"/>
              <w:ind w:left="1490"/>
              <w:spacing w:after="0"/>
              <w:rPr>
                <w:sz w:val="20"/>
                <w:szCs w:val="20"/>
                <w:color w:val="auto"/>
              </w:rPr>
            </w:pPr>
            <w:r>
              <w:rPr>
                <w:rFonts w:ascii="Times New Roman" w:cs="Times New Roman" w:eastAsia="Times New Roman" w:hAnsi="Times New Roman"/>
                <w:sz w:val="11"/>
                <w:szCs w:val="11"/>
                <w:b w:val="1"/>
                <w:bCs w:val="1"/>
                <w:color w:val="auto"/>
                <w:w w:val="97"/>
              </w:rPr>
              <w:t>25-1324733</w:t>
            </w:r>
          </w:p>
        </w:tc>
      </w:tr>
      <w:tr>
        <w:trPr>
          <w:trHeight w:val="102"/>
        </w:trPr>
        <w:tc>
          <w:tcPr>
            <w:tcW w:w="2800" w:type="dxa"/>
            <w:vAlign w:val="bottom"/>
          </w:tcPr>
          <w:p>
            <w:pPr>
              <w:jc w:val="center"/>
              <w:ind w:right="1530"/>
              <w:spacing w:after="0" w:line="102"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2500" w:type="dxa"/>
            <w:vAlign w:val="bottom"/>
          </w:tcPr>
          <w:p>
            <w:pPr>
              <w:jc w:val="center"/>
              <w:ind w:left="1490"/>
              <w:spacing w:after="0" w:line="102"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25"/>
        </w:trPr>
        <w:tc>
          <w:tcPr>
            <w:tcW w:w="2800" w:type="dxa"/>
            <w:vAlign w:val="bottom"/>
          </w:tcPr>
          <w:p>
            <w:pPr>
              <w:jc w:val="center"/>
              <w:ind w:right="151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2500" w:type="dxa"/>
            <w:vAlign w:val="bottom"/>
          </w:tcPr>
          <w:p>
            <w:pPr>
              <w:jc w:val="center"/>
              <w:ind w:left="1510"/>
              <w:spacing w:after="0"/>
              <w:rPr>
                <w:sz w:val="20"/>
                <w:szCs w:val="20"/>
                <w:color w:val="auto"/>
              </w:rPr>
            </w:pPr>
            <w:r>
              <w:rPr>
                <w:rFonts w:ascii="Times New Roman" w:cs="Times New Roman" w:eastAsia="Times New Roman" w:hAnsi="Times New Roman"/>
                <w:sz w:val="9"/>
                <w:szCs w:val="9"/>
                <w:b w:val="1"/>
                <w:bCs w:val="1"/>
                <w:color w:val="auto"/>
              </w:rPr>
              <w:t>Identification Number)</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415 Holiday Drive, Suite 100</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Pittsburgh, Pennsylvania 15220</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(412) 928-3400</w:t>
      </w:r>
    </w:p>
    <w:p>
      <w:pPr>
        <w:jc w:val="center"/>
        <w:ind w:right="19"/>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175260</wp:posOffset>
            </wp:positionV>
            <wp:extent cx="11049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Patrick J. Guinee, Esq.</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Executive Vice President, General Counsel and Secretary</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L.B. Foster Company</w:t>
      </w:r>
    </w:p>
    <w:p>
      <w:pPr>
        <w:jc w:val="center"/>
        <w:ind w:right="19"/>
        <w:spacing w:after="0" w:line="213" w:lineRule="auto"/>
        <w:rPr>
          <w:sz w:val="20"/>
          <w:szCs w:val="20"/>
          <w:color w:val="auto"/>
        </w:rPr>
      </w:pPr>
      <w:r>
        <w:rPr>
          <w:rFonts w:ascii="Times New Roman" w:cs="Times New Roman" w:eastAsia="Times New Roman" w:hAnsi="Times New Roman"/>
          <w:sz w:val="11"/>
          <w:szCs w:val="11"/>
          <w:b w:val="1"/>
          <w:bCs w:val="1"/>
          <w:color w:val="auto"/>
        </w:rPr>
        <w:t>415 Holiday Drive, Suite 100</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Pittsburgh, PA 15220</w:t>
      </w:r>
    </w:p>
    <w:p>
      <w:pPr>
        <w:jc w:val="center"/>
        <w:ind w:right="19"/>
        <w:spacing w:after="0" w:line="216" w:lineRule="auto"/>
        <w:rPr>
          <w:sz w:val="20"/>
          <w:szCs w:val="20"/>
          <w:color w:val="auto"/>
        </w:rPr>
      </w:pPr>
      <w:r>
        <w:rPr>
          <w:rFonts w:ascii="Times New Roman" w:cs="Times New Roman" w:eastAsia="Times New Roman" w:hAnsi="Times New Roman"/>
          <w:sz w:val="11"/>
          <w:szCs w:val="11"/>
          <w:b w:val="1"/>
          <w:bCs w:val="1"/>
          <w:color w:val="auto"/>
        </w:rPr>
        <w:t>(412) 928-3400</w:t>
      </w:r>
    </w:p>
    <w:p>
      <w:pPr>
        <w:jc w:val="center"/>
        <w:ind w:right="19"/>
        <w:spacing w:after="0"/>
        <w:rPr>
          <w:sz w:val="20"/>
          <w:szCs w:val="20"/>
          <w:color w:val="auto"/>
        </w:rPr>
      </w:pP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168910</wp:posOffset>
            </wp:positionV>
            <wp:extent cx="11049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With copies to:</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Celia A. Soehner, Esq.</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Maria L. Sasinoski, Esq.</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Morgan, Lewis &amp; Bockius LLP</w:t>
      </w:r>
    </w:p>
    <w:p>
      <w:pPr>
        <w:jc w:val="center"/>
        <w:ind w:right="19"/>
        <w:spacing w:after="0" w:line="213" w:lineRule="auto"/>
        <w:rPr>
          <w:sz w:val="20"/>
          <w:szCs w:val="20"/>
          <w:color w:val="auto"/>
        </w:rPr>
      </w:pPr>
      <w:r>
        <w:rPr>
          <w:rFonts w:ascii="Times New Roman" w:cs="Times New Roman" w:eastAsia="Times New Roman" w:hAnsi="Times New Roman"/>
          <w:sz w:val="11"/>
          <w:szCs w:val="11"/>
          <w:b w:val="1"/>
          <w:bCs w:val="1"/>
          <w:color w:val="auto"/>
        </w:rPr>
        <w:t>One Oxford Centre</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Thirty-Second Floor</w:t>
      </w:r>
    </w:p>
    <w:p>
      <w:pPr>
        <w:jc w:val="center"/>
        <w:ind w:right="19"/>
        <w:spacing w:after="0" w:line="212" w:lineRule="auto"/>
        <w:rPr>
          <w:sz w:val="20"/>
          <w:szCs w:val="20"/>
          <w:color w:val="auto"/>
        </w:rPr>
      </w:pPr>
      <w:r>
        <w:rPr>
          <w:rFonts w:ascii="Times New Roman" w:cs="Times New Roman" w:eastAsia="Times New Roman" w:hAnsi="Times New Roman"/>
          <w:sz w:val="11"/>
          <w:szCs w:val="11"/>
          <w:b w:val="1"/>
          <w:bCs w:val="1"/>
          <w:color w:val="auto"/>
        </w:rPr>
        <w:t>Pittsburgh, PA 15219-6401</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(412) 560-3300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161925</wp:posOffset>
            </wp:positionV>
            <wp:extent cx="11049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38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136" w:lineRule="exact"/>
        <w:rPr>
          <w:sz w:val="24"/>
          <w:szCs w:val="24"/>
          <w:color w:val="auto"/>
        </w:rPr>
      </w:pPr>
    </w:p>
    <w:p>
      <w:pPr>
        <w:ind w:left="6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82" w:lineRule="exact"/>
        <w:rPr>
          <w:sz w:val="24"/>
          <w:szCs w:val="24"/>
          <w:color w:val="auto"/>
        </w:rPr>
      </w:pPr>
    </w:p>
    <w:p>
      <w:pPr>
        <w:ind w:left="360" w:right="57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360" w:right="79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360" w:right="45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360" w:right="37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360" w:right="49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2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ind w:left="36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360" w:type="dxa"/>
        <w:tblCellMar>
          <w:top w:w="0" w:type="dxa"/>
          <w:left w:w="0" w:type="dxa"/>
          <w:bottom w:w="0" w:type="dxa"/>
          <w:right w:w="0" w:type="dxa"/>
        </w:tblCellMar>
      </w:tblPr>
      <w:tr>
        <w:trPr>
          <w:trHeight w:val="183"/>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0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0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6" w:lineRule="exact"/>
        <w:rPr>
          <w:sz w:val="24"/>
          <w:szCs w:val="24"/>
          <w:color w:val="auto"/>
        </w:rPr>
      </w:pPr>
    </w:p>
    <w:p>
      <w:pPr>
        <w:ind w:left="360" w:right="799" w:firstLine="332"/>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162560</wp:posOffset>
            </wp:positionV>
            <wp:extent cx="11049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4900" cy="6350"/>
                    </a:xfrm>
                    <a:prstGeom prst="rect">
                      <a:avLst/>
                    </a:prstGeom>
                    <a:noFill/>
                  </pic:spPr>
                </pic:pic>
              </a:graphicData>
            </a:graphic>
          </wp:anchor>
        </w:drawing>
      </w:r>
    </w:p>
    <w:p>
      <w:pPr>
        <w:spacing w:after="0" w:line="390" w:lineRule="exact"/>
        <w:rPr>
          <w:sz w:val="24"/>
          <w:szCs w:val="24"/>
          <w:color w:val="auto"/>
        </w:rPr>
      </w:pPr>
    </w:p>
    <w:p>
      <w:pPr>
        <w:ind w:left="360" w:right="459" w:firstLine="332"/>
        <w:spacing w:after="0" w:line="231"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226695</wp:posOffset>
            </wp:positionH>
            <wp:positionV relativeFrom="paragraph">
              <wp:posOffset>57785</wp:posOffset>
            </wp:positionV>
            <wp:extent cx="52730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3040" cy="6350"/>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90170</wp:posOffset>
            </wp:positionV>
            <wp:extent cx="52730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3040" cy="6350"/>
                    </a:xfrm>
                    <a:prstGeom prst="rect">
                      <a:avLst/>
                    </a:prstGeom>
                    <a:noFill/>
                  </pic:spPr>
                </pic:pic>
              </a:graphicData>
            </a:graphic>
          </wp:anchor>
        </w:drawing>
      </w:r>
    </w:p>
    <w:p>
      <w:pPr>
        <w:sectPr>
          <w:pgSz w:w="11900" w:h="16838" w:orient="portrait"/>
          <w:cols w:equalWidth="0" w:num="1">
            <w:col w:w="9019"/>
          </w:cols>
          <w:pgMar w:left="1440" w:top="201" w:right="1440" w:bottom="1440" w:gutter="0" w:footer="0" w:header="0"/>
        </w:sectPr>
      </w:pPr>
    </w:p>
    <w:bookmarkStart w:id="1" w:name="page2"/>
    <w:bookmarkEnd w:id="1"/>
    <w:tbl>
      <w:tblPr>
        <w:tblLayout w:type="fixed"/>
        <w:tblInd w:w="360" w:type="dxa"/>
        <w:tblCellMar>
          <w:top w:w="0" w:type="dxa"/>
          <w:left w:w="0" w:type="dxa"/>
          <w:bottom w:w="0" w:type="dxa"/>
          <w:right w:w="0" w:type="dxa"/>
        </w:tblCellMar>
      </w:tblPr>
      <w:tr>
        <w:trPr>
          <w:trHeight w:val="1648"/>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5"/>
              </w:rPr>
              <w:t>to buy these securities until</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sell these securities, and it is</w:t>
            </w:r>
          </w:p>
        </w:tc>
        <w:tc>
          <w:tcPr>
            <w:tcW w:w="140" w:type="dxa"/>
            <w:vAlign w:val="bottom"/>
          </w:tcPr>
          <w:p>
            <w:pPr>
              <w:spacing w:after="0"/>
              <w:rPr>
                <w:sz w:val="24"/>
                <w:szCs w:val="24"/>
                <w:color w:val="auto"/>
              </w:rPr>
            </w:pPr>
          </w:p>
        </w:tc>
      </w:tr>
      <w:tr>
        <w:trPr>
          <w:trHeight w:val="164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securities or accept an offer</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prospectus is not an offer to</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permitted.</w:t>
            </w:r>
          </w:p>
        </w:tc>
      </w:tr>
      <w:tr>
        <w:trPr>
          <w:trHeight w:val="545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The information in this prospectus is not complete and may be changed. We may not sell these</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the registration statement filed with the Securities and Exchange Commission is effective. This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not soliciting an offer to buy these securities, in any jurisdiction where such offer or sale is not</w:t>
            </w:r>
          </w:p>
        </w:tc>
      </w:tr>
    </w:tbl>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-233045</wp:posOffset>
            </wp:positionV>
            <wp:extent cx="720471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3238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128270</wp:posOffset>
            </wp:positionV>
            <wp:extent cx="1389380" cy="271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27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33"/>
          <w:szCs w:val="33"/>
          <w:b w:val="1"/>
          <w:bCs w:val="1"/>
          <w:color w:val="auto"/>
        </w:rPr>
        <w:t>L.B. FOSTER COMPANY</w:t>
      </w:r>
    </w:p>
    <w:p>
      <w:pPr>
        <w:spacing w:after="0" w:line="16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4"/>
          <w:szCs w:val="24"/>
          <w:b w:val="1"/>
          <w:bCs w:val="1"/>
          <w:color w:val="auto"/>
        </w:rPr>
        <w:t>$180,000,000</w:t>
      </w:r>
    </w:p>
    <w:p>
      <w:pPr>
        <w:spacing w:after="0" w:line="177"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9"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175260</wp:posOffset>
            </wp:positionV>
            <wp:extent cx="9372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7260"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1039" w:firstLine="280"/>
        <w:spacing w:after="0" w:line="239" w:lineRule="auto"/>
        <w:rPr>
          <w:sz w:val="20"/>
          <w:szCs w:val="20"/>
          <w:color w:val="auto"/>
        </w:rPr>
      </w:pPr>
      <w:r>
        <w:rPr>
          <w:rFonts w:ascii="Times New Roman" w:cs="Times New Roman" w:eastAsia="Times New Roman" w:hAnsi="Times New Roman"/>
          <w:sz w:val="10"/>
          <w:szCs w:val="10"/>
          <w:color w:val="auto"/>
        </w:rPr>
        <w:t>From time to time, we may offer and sell up to $180,000,000 aggregate dollar amount of shares of our common stock, shares of our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 w:lineRule="exact"/>
        <w:rPr>
          <w:sz w:val="20"/>
          <w:szCs w:val="20"/>
          <w:color w:val="auto"/>
        </w:rPr>
      </w:pPr>
    </w:p>
    <w:p>
      <w:pPr>
        <w:ind w:right="1199"/>
        <w:spacing w:after="0" w:line="222" w:lineRule="auto"/>
        <w:rPr>
          <w:sz w:val="20"/>
          <w:szCs w:val="20"/>
          <w:color w:val="auto"/>
        </w:rPr>
      </w:pPr>
      <w:r>
        <w:rPr>
          <w:rFonts w:ascii="Times New Roman" w:cs="Times New Roman" w:eastAsia="Times New Roman" w:hAnsi="Times New Roman"/>
          <w:sz w:val="11"/>
          <w:szCs w:val="11"/>
          <w:color w:val="auto"/>
        </w:rPr>
        <w:t>This prospectus describes the general manner in which those securities may be offered using this prospectus. We will specify in an accompanying prospectus supplement and any related free writing prospectus the terms of securities offered and the offering thereof and may also add, update or change information contained in this prospectus. The total amount of these securities will have an initial aggregate offering price of up to $180,000,000.</w:t>
      </w:r>
    </w:p>
    <w:p>
      <w:pPr>
        <w:spacing w:after="0" w:line="136" w:lineRule="exact"/>
        <w:rPr>
          <w:sz w:val="20"/>
          <w:szCs w:val="20"/>
          <w:color w:val="auto"/>
        </w:rPr>
      </w:pPr>
    </w:p>
    <w:p>
      <w:pPr>
        <w:ind w:right="1239" w:firstLine="280"/>
        <w:spacing w:after="0" w:line="239" w:lineRule="auto"/>
        <w:rPr>
          <w:sz w:val="20"/>
          <w:szCs w:val="20"/>
          <w:color w:val="auto"/>
        </w:rPr>
      </w:pPr>
      <w:r>
        <w:rPr>
          <w:rFonts w:ascii="Times New Roman" w:cs="Times New Roman" w:eastAsia="Times New Roman" w:hAnsi="Times New Roman"/>
          <w:sz w:val="11"/>
          <w:szCs w:val="11"/>
          <w:color w:val="auto"/>
        </w:rPr>
        <w:t>You should carefully read this prospectus, the applicable prospectus supplement and any related free writing prospectus, as well as the documents and information incorporated or deemed to be incorporated by reference herein and therein, before you invest in any of our securities.</w:t>
      </w:r>
    </w:p>
    <w:p>
      <w:pPr>
        <w:spacing w:after="0" w:line="135" w:lineRule="exact"/>
        <w:rPr>
          <w:sz w:val="20"/>
          <w:szCs w:val="20"/>
          <w:color w:val="auto"/>
        </w:rPr>
      </w:pPr>
    </w:p>
    <w:p>
      <w:pPr>
        <w:ind w:right="1039" w:firstLine="280"/>
        <w:spacing w:after="0" w:line="226" w:lineRule="auto"/>
        <w:rPr>
          <w:sz w:val="20"/>
          <w:szCs w:val="20"/>
          <w:color w:val="auto"/>
        </w:rPr>
      </w:pPr>
      <w:r>
        <w:rPr>
          <w:rFonts w:ascii="Times New Roman" w:cs="Times New Roman" w:eastAsia="Times New Roman" w:hAnsi="Times New Roman"/>
          <w:sz w:val="11"/>
          <w:szCs w:val="11"/>
          <w:color w:val="auto"/>
        </w:rPr>
        <w:t>Our common stock is listed on the Nasdaq Global Select Market under the trading symbol “FSTR.” On November 3, 2026, the last reported sale price of our common stock was $36.46 per share.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other exchange of the securities, if any, covered by the prospectus supplement and any related free writing prospectus.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This prospectus may not be used to sell the securities unless accompanied by a prospectus supplement.</w:t>
      </w:r>
    </w:p>
    <w:p>
      <w:pPr>
        <w:spacing w:after="0" w:line="150" w:lineRule="exact"/>
        <w:rPr>
          <w:sz w:val="20"/>
          <w:szCs w:val="20"/>
          <w:color w:val="auto"/>
        </w:rPr>
      </w:pPr>
    </w:p>
    <w:p>
      <w:pPr>
        <w:ind w:right="1059" w:firstLine="280"/>
        <w:spacing w:after="0" w:line="230" w:lineRule="auto"/>
        <w:rPr>
          <w:sz w:val="20"/>
          <w:szCs w:val="20"/>
          <w:color w:val="auto"/>
        </w:rPr>
      </w:pPr>
      <w:r>
        <w:rPr>
          <w:rFonts w:ascii="Times New Roman" w:cs="Times New Roman" w:eastAsia="Times New Roman" w:hAnsi="Times New Roman"/>
          <w:sz w:val="11"/>
          <w:szCs w:val="11"/>
          <w:color w:val="auto"/>
        </w:rPr>
        <w:t>We are currently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“The Company—Our Status as a Smaller Reporting Company”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161290</wp:posOffset>
            </wp:positionV>
            <wp:extent cx="93726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7260" cy="6350"/>
                    </a:xfrm>
                    <a:prstGeom prst="rect">
                      <a:avLst/>
                    </a:prstGeom>
                    <a:noFill/>
                  </pic:spPr>
                </pic:pic>
              </a:graphicData>
            </a:graphic>
          </wp:anchor>
        </w:drawing>
      </w:r>
    </w:p>
    <w:p>
      <w:pPr>
        <w:spacing w:after="0" w:line="390" w:lineRule="exact"/>
        <w:rPr>
          <w:sz w:val="20"/>
          <w:szCs w:val="20"/>
          <w:color w:val="auto"/>
        </w:rPr>
      </w:pPr>
    </w:p>
    <w:p>
      <w:pPr>
        <w:ind w:right="1139" w:firstLine="28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significant risks. You should carefully consider the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xml:space="preserve"> referred to on page 4 of this prospectus, in any applicable prospectus supplement, and in the documents incorporated by reference or deemed to be incorporated by reference in this prospectus and any applicable prospectus supplement, before you invest in our securities.</w:t>
      </w:r>
    </w:p>
    <w:p>
      <w:pPr>
        <w:spacing w:after="0" w:line="140" w:lineRule="exact"/>
        <w:rPr>
          <w:sz w:val="20"/>
          <w:szCs w:val="20"/>
          <w:color w:val="auto"/>
        </w:rPr>
      </w:pPr>
    </w:p>
    <w:p>
      <w:pPr>
        <w:ind w:right="1019" w:firstLine="280"/>
        <w:spacing w:after="0" w:line="247" w:lineRule="auto"/>
        <w:rPr>
          <w:sz w:val="20"/>
          <w:szCs w:val="20"/>
          <w:color w:val="auto"/>
        </w:rPr>
      </w:pPr>
      <w:r>
        <w:rPr>
          <w:rFonts w:ascii="Times New Roman" w:cs="Times New Roman" w:eastAsia="Times New Roman" w:hAnsi="Times New Roman"/>
          <w:sz w:val="10"/>
          <w:szCs w:val="10"/>
          <w:color w:val="auto"/>
        </w:rPr>
        <w:t>We may offer and sell the securities through underwriters, dealers or agents, or directly to purchasers, or through a combination of these methods. For additional information on the methods of sale, you should refer to the section entitled “Plan of Distribution” beginning on page 10 of this prospectus. If any agents or underwriters are involved in the sale of any securities with respect to which this prospectus is being delivered, the names of such agents or underwriters and any applicable fees, commissions, discounts or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29" w:lineRule="exact"/>
        <w:rPr>
          <w:sz w:val="20"/>
          <w:szCs w:val="20"/>
          <w:color w:val="auto"/>
        </w:rPr>
      </w:pPr>
    </w:p>
    <w:p>
      <w:pPr>
        <w:ind w:right="1119" w:firstLine="280"/>
        <w:spacing w:after="0" w:line="243"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159385</wp:posOffset>
            </wp:positionV>
            <wp:extent cx="93726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7260" cy="6350"/>
                    </a:xfrm>
                    <a:prstGeom prst="rect">
                      <a:avLst/>
                    </a:prstGeom>
                    <a:noFill/>
                  </pic:spPr>
                </pic:pic>
              </a:graphicData>
            </a:graphic>
          </wp:anchor>
        </w:drawing>
      </w:r>
    </w:p>
    <w:p>
      <w:pPr>
        <w:spacing w:after="0" w:line="38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1"/>
          <w:szCs w:val="11"/>
          <w:b w:val="1"/>
          <w:bCs w:val="1"/>
          <w:color w:val="auto"/>
        </w:rPr>
        <w:t>The date of this prospectus is             , 2026</w:t>
      </w:r>
    </w:p>
    <w:p>
      <w:pPr>
        <w:sectPr>
          <w:pgSz w:w="11900" w:h="16838" w:orient="portrait"/>
          <w:cols w:equalWidth="0" w:num="2">
            <w:col w:w="800" w:space="200"/>
            <w:col w:w="8019"/>
          </w:cols>
          <w:pgMar w:left="1440" w:top="338" w:right="1440" w:bottom="1440" w:gutter="0" w:footer="0" w:header="0"/>
        </w:sectPr>
      </w:pPr>
    </w:p>
    <w:bookmarkStart w:id="2" w:name="page3"/>
    <w:bookmarkEnd w:id="2"/>
    <w:tbl>
      <w:tblPr>
        <w:tblLayout w:type="fixed"/>
        <w:tblInd w:w="36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00" w:type="dxa"/>
            <w:vAlign w:val="bottom"/>
          </w:tcPr>
          <w:p>
            <w:pPr>
              <w:jc w:val="right"/>
              <w:ind w:right="3312"/>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r>
      <w:tr>
        <w:trPr>
          <w:trHeight w:val="316"/>
        </w:trPr>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680" w:type="dxa"/>
            <w:vAlign w:val="bottom"/>
            <w:gridSpan w:val="7"/>
          </w:tcPr>
          <w:p>
            <w:pPr>
              <w:spacing w:after="0"/>
              <w:rPr>
                <w:sz w:val="24"/>
                <w:szCs w:val="24"/>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PROSPECTUS SUMMARY</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143"/>
        </w:trPr>
        <w:tc>
          <w:tcPr>
            <w:tcW w:w="94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3"/>
              </w:rPr>
              <w:t>RISK FACTORS</w:t>
            </w:r>
          </w:p>
        </w:tc>
        <w:tc>
          <w:tcPr>
            <w:tcW w:w="620" w:type="dxa"/>
            <w:vAlign w:val="bottom"/>
            <w:tcBorders>
              <w:top w:val="single" w:sz="8" w:color="0000EE"/>
            </w:tcBorders>
            <w:gridSpan w:val="5"/>
          </w:tcPr>
          <w:p>
            <w:pPr>
              <w:spacing w:after="0"/>
              <w:rPr>
                <w:sz w:val="12"/>
                <w:szCs w:val="12"/>
                <w:color w:val="auto"/>
              </w:rPr>
            </w:pPr>
          </w:p>
        </w:tc>
        <w:tc>
          <w:tcPr>
            <w:tcW w:w="1800" w:type="dxa"/>
            <w:vAlign w:val="bottom"/>
            <w:gridSpan w:val="8"/>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FORWARD-LOOKING STATEMENTS</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43"/>
        </w:trPr>
        <w:tc>
          <w:tcPr>
            <w:tcW w:w="330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5"/>
              </w:rPr>
              <w:t>INCORPORATION OF INFORMATION BY REFERENCE</w:t>
            </w:r>
          </w:p>
        </w:tc>
        <w:tc>
          <w:tcPr>
            <w:tcW w:w="60" w:type="dxa"/>
            <w:vAlign w:val="bottom"/>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USE OF PROCEEDS</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43"/>
        </w:trPr>
        <w:tc>
          <w:tcPr>
            <w:tcW w:w="154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1820" w:type="dxa"/>
            <w:vAlign w:val="bottom"/>
            <w:gridSpan w:val="9"/>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w:t>
            </w:r>
          </w:p>
        </w:tc>
      </w:tr>
      <w:tr>
        <w:trPr>
          <w:trHeight w:val="143"/>
        </w:trPr>
        <w:tc>
          <w:tcPr>
            <w:tcW w:w="220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1160" w:type="dxa"/>
            <w:vAlign w:val="bottom"/>
            <w:gridSpan w:val="5"/>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r>
      <w:tr>
        <w:trPr>
          <w:trHeight w:val="143"/>
        </w:trPr>
        <w:tc>
          <w:tcPr>
            <w:tcW w:w="228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1080" w:type="dxa"/>
            <w:vAlign w:val="bottom"/>
            <w:gridSpan w:val="4"/>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w:t>
            </w: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DESCRIPTION OF WARRANTS</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DESCRIPTION OF SUBSCRIPTION RIGHTS</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w:t>
            </w:r>
          </w:p>
        </w:tc>
      </w:tr>
      <w:tr>
        <w:trPr>
          <w:trHeight w:val="143"/>
        </w:trPr>
        <w:tc>
          <w:tcPr>
            <w:tcW w:w="1520" w:type="dxa"/>
            <w:vAlign w:val="bottom"/>
            <w:tcBorders>
              <w:top w:val="single" w:sz="8" w:color="0000EE"/>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5"/>
              </w:rPr>
              <w:t>DESCRIPTION OF UNITS</w:t>
            </w:r>
          </w:p>
        </w:tc>
        <w:tc>
          <w:tcPr>
            <w:tcW w:w="1080" w:type="dxa"/>
            <w:vAlign w:val="bottom"/>
            <w:tcBorders>
              <w:top w:val="single" w:sz="8" w:color="0000EE"/>
            </w:tcBorders>
            <w:gridSpan w:val="7"/>
          </w:tcPr>
          <w:p>
            <w:pPr>
              <w:spacing w:after="0"/>
              <w:rPr>
                <w:sz w:val="12"/>
                <w:szCs w:val="12"/>
                <w:color w:val="auto"/>
              </w:rPr>
            </w:pPr>
          </w:p>
        </w:tc>
        <w:tc>
          <w:tcPr>
            <w:tcW w:w="760" w:type="dxa"/>
            <w:vAlign w:val="bottom"/>
            <w:gridSpan w:val="3"/>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w:t>
            </w:r>
          </w:p>
        </w:tc>
      </w:tr>
      <w:tr>
        <w:trPr>
          <w:trHeight w:val="143"/>
        </w:trPr>
        <w:tc>
          <w:tcPr>
            <w:tcW w:w="3360" w:type="dxa"/>
            <w:vAlign w:val="bottom"/>
            <w:gridSpan w:val="15"/>
          </w:tcPr>
          <w:p>
            <w:pPr>
              <w:spacing w:after="0" w:line="143" w:lineRule="exact"/>
              <w:rPr>
                <w:sz w:val="20"/>
                <w:szCs w:val="20"/>
                <w:color w:val="auto"/>
              </w:rPr>
            </w:pPr>
            <w:r>
              <w:rPr>
                <w:rFonts w:ascii="Times New Roman" w:cs="Times New Roman" w:eastAsia="Times New Roman" w:hAnsi="Times New Roman"/>
                <w:sz w:val="14"/>
                <w:szCs w:val="14"/>
                <w:color w:val="0000EE"/>
              </w:rPr>
              <w:t>LEGAL MATTERS</w:t>
            </w: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w:t>
            </w:r>
          </w:p>
        </w:tc>
      </w:tr>
      <w:tr>
        <w:trPr>
          <w:trHeight w:val="143"/>
        </w:trPr>
        <w:tc>
          <w:tcPr>
            <w:tcW w:w="58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500" w:type="dxa"/>
            <w:vAlign w:val="bottom"/>
            <w:tcBorders>
              <w:top w:val="single" w:sz="8" w:color="0000EE"/>
            </w:tcBorders>
            <w:gridSpan w:val="2"/>
          </w:tcPr>
          <w:p>
            <w:pPr>
              <w:spacing w:after="0"/>
              <w:rPr>
                <w:sz w:val="12"/>
                <w:szCs w:val="12"/>
                <w:color w:val="auto"/>
              </w:rPr>
            </w:pPr>
          </w:p>
        </w:tc>
        <w:tc>
          <w:tcPr>
            <w:tcW w:w="2280" w:type="dxa"/>
            <w:vAlign w:val="bottom"/>
            <w:gridSpan w:val="12"/>
          </w:tcPr>
          <w:p>
            <w:pPr>
              <w:spacing w:after="0"/>
              <w:rPr>
                <w:sz w:val="12"/>
                <w:szCs w:val="12"/>
                <w:color w:val="auto"/>
              </w:rPr>
            </w:pPr>
          </w:p>
        </w:tc>
        <w:tc>
          <w:tcPr>
            <w:tcW w:w="49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27</w:t>
            </w:r>
          </w:p>
        </w:tc>
      </w:tr>
    </w:tbl>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710" cy="32385"/>
                    </a:xfrm>
                    <a:prstGeom prst="rect">
                      <a:avLst/>
                    </a:prstGeom>
                    <a:noFill/>
                  </pic:spPr>
                </pic:pic>
              </a:graphicData>
            </a:graphic>
          </wp:anchor>
        </w:drawing>
      </w:r>
    </w:p>
    <w:p>
      <w:pPr>
        <w:ind w:left="360" w:right="479" w:firstLine="332"/>
        <w:spacing w:after="0" w:line="263" w:lineRule="auto"/>
        <w:rPr>
          <w:sz w:val="20"/>
          <w:szCs w:val="20"/>
          <w:color w:val="auto"/>
        </w:rPr>
      </w:pPr>
      <w:r>
        <w:rPr>
          <w:rFonts w:ascii="Times New Roman" w:cs="Times New Roman" w:eastAsia="Times New Roman" w:hAnsi="Times New Roman"/>
          <w:sz w:val="14"/>
          <w:szCs w:val="14"/>
          <w:color w:val="auto"/>
        </w:rPr>
        <w:t>Unless the context requires otherwise, references in this prospectus to “L.B. Foster,” the “Company,” “we,” “us,” and “our” or similar references refer collectively to L.B. Foster Company and not its subsidiaries.</w:t>
      </w:r>
    </w:p>
    <w:p>
      <w:pPr>
        <w:spacing w:after="0" w:line="136" w:lineRule="exact"/>
        <w:rPr>
          <w:sz w:val="20"/>
          <w:szCs w:val="20"/>
          <w:color w:val="auto"/>
        </w:rPr>
      </w:pPr>
    </w:p>
    <w:p>
      <w:pPr>
        <w:ind w:left="360" w:right="559" w:firstLine="332"/>
        <w:spacing w:after="0" w:line="315" w:lineRule="auto"/>
        <w:rPr>
          <w:sz w:val="20"/>
          <w:szCs w:val="20"/>
          <w:color w:val="auto"/>
        </w:rPr>
      </w:pPr>
      <w:r>
        <w:rPr>
          <w:rFonts w:ascii="Times New Roman" w:cs="Times New Roman" w:eastAsia="Times New Roman" w:hAnsi="Times New Roman"/>
          <w:sz w:val="12"/>
          <w:szCs w:val="12"/>
          <w:color w:val="auto"/>
        </w:rPr>
        <w:t>This prospectus, any applicable prospectus supplement and any free writing prospectus filed by us do not constitute an offer to sell or the solicitation of an offer to buy any securities other than the registered securities to which they relate, nor do they constitute an offer to sell or the solicitation of an offer to buy securities in any jurisdiction to any person to whom it is unlawful to make such offer or solicitation in such jurisdiction.</w:t>
      </w:r>
    </w:p>
    <w:p>
      <w:pPr>
        <w:spacing w:after="0" w:line="108" w:lineRule="exact"/>
        <w:rPr>
          <w:sz w:val="20"/>
          <w:szCs w:val="20"/>
          <w:color w:val="auto"/>
        </w:rPr>
      </w:pPr>
    </w:p>
    <w:p>
      <w:pPr>
        <w:jc w:val="both"/>
        <w:ind w:left="360" w:right="439" w:firstLine="332"/>
        <w:spacing w:after="0" w:line="253" w:lineRule="auto"/>
        <w:rPr>
          <w:sz w:val="20"/>
          <w:szCs w:val="20"/>
          <w:color w:val="auto"/>
        </w:rPr>
      </w:pPr>
      <w:r>
        <w:rPr>
          <w:rFonts w:ascii="Times New Roman" w:cs="Times New Roman" w:eastAsia="Times New Roman" w:hAnsi="Times New Roman"/>
          <w:sz w:val="14"/>
          <w:szCs w:val="14"/>
          <w:color w:val="auto"/>
        </w:rPr>
        <w:t>For investors outside of the United States, we have not done anything that would permit the offering, possession or distribution of this prospectus in any jurisdiction where action for that purpose is required, other than in the United States. You are required to inform yourselves about and to observe any restrictions relating to the offering, possession or distribution of this prospectus outside of the United States.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710" cy="32385"/>
                    </a:xfrm>
                    <a:prstGeom prst="rect">
                      <a:avLst/>
                    </a:prstGeom>
                    <a:noFill/>
                  </pic:spPr>
                </pic:pic>
              </a:graphicData>
            </a:graphic>
          </wp:anchor>
        </w:drawing>
        <w:t>ABOUT THIS PROSPECTUS</w:t>
      </w:r>
    </w:p>
    <w:p>
      <w:pPr>
        <w:spacing w:after="0" w:line="169" w:lineRule="exact"/>
        <w:rPr>
          <w:sz w:val="20"/>
          <w:szCs w:val="20"/>
          <w:color w:val="auto"/>
        </w:rPr>
      </w:pPr>
    </w:p>
    <w:p>
      <w:pPr>
        <w:jc w:val="both"/>
        <w:ind w:left="360" w:right="599" w:firstLine="332"/>
        <w:spacing w:after="0" w:line="249" w:lineRule="auto"/>
        <w:rPr>
          <w:sz w:val="20"/>
          <w:szCs w:val="20"/>
          <w:color w:val="auto"/>
        </w:rPr>
      </w:pPr>
      <w:r>
        <w:rPr>
          <w:rFonts w:ascii="Times New Roman" w:cs="Times New Roman" w:eastAsia="Times New Roman" w:hAnsi="Times New Roman"/>
          <w:sz w:val="14"/>
          <w:szCs w:val="14"/>
          <w:color w:val="auto"/>
        </w:rPr>
        <w:t>This prospectus is a part of a registration statement that we have filed on Form S-3 with the Securities and Exchange Commission (the “SEC”) utilizing a “shelf” registration process under the Securities Act of 1933, as amended (the “Securities Act”). Under this shelf registration process, we may, from time to time, offer and sell any combination of the securities described in this prospectus in one or more offerings in amounts that we will determine from time to time that do not exceed $180,000,000 in the aggregate.</w:t>
      </w:r>
    </w:p>
    <w:p>
      <w:pPr>
        <w:spacing w:after="0" w:line="146" w:lineRule="exact"/>
        <w:rPr>
          <w:sz w:val="20"/>
          <w:szCs w:val="20"/>
          <w:color w:val="auto"/>
        </w:rPr>
      </w:pPr>
    </w:p>
    <w:p>
      <w:pPr>
        <w:ind w:left="360" w:right="439" w:firstLine="332"/>
        <w:spacing w:after="0" w:line="293" w:lineRule="auto"/>
        <w:rPr>
          <w:sz w:val="20"/>
          <w:szCs w:val="20"/>
          <w:color w:val="auto"/>
        </w:rPr>
      </w:pPr>
      <w:r>
        <w:rPr>
          <w:rFonts w:ascii="Times New Roman" w:cs="Times New Roman" w:eastAsia="Times New Roman" w:hAnsi="Times New Roman"/>
          <w:sz w:val="12"/>
          <w:szCs w:val="12"/>
          <w:color w:val="auto"/>
        </w:rPr>
        <w:t>This prospectus provides you with a general description of the securities we may offer. Each time we offer and sell securities, we will provide a prospectus supplement or other type of offering document or supplement (together referred to herein as a “prospectus supplement”) that will contain specific information about the terms of that offering. Any applicable prospectus supplement or any related free writing prospectus may also add, update or change information contained in this prospectus or in any documents that we have incorporated by reference into this prospectus, and accordingly, to the extent inconsistent, information in this prospectus is superseded by the information in such applicable prospectus supplement or free writing prospectus. You should carefully read this prospectus, any applicable prospectus supplement and any related free writing prospectus, together with the information incorporated by reference herein and any additional information as described under the headings “Where You Can Find More Information” and “Incorporation of Information by Reference” before investing in any of the securities offered.</w:t>
      </w:r>
    </w:p>
    <w:p>
      <w:pPr>
        <w:spacing w:after="0" w:line="282" w:lineRule="exact"/>
        <w:rPr>
          <w:sz w:val="20"/>
          <w:szCs w:val="20"/>
          <w:color w:val="auto"/>
        </w:rPr>
      </w:pPr>
    </w:p>
    <w:p>
      <w:pPr>
        <w:ind w:left="360" w:right="359" w:firstLine="332"/>
        <w:spacing w:after="0" w:line="24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incorporated or deemed to be incorporated by reference in this prospectus, in any applicable prospectus supplement or in any free writing prospectus filed by us with the SEC. We have not authorized anyone to provide any information other than that contained in this prospectus or in any prospectus supplement or free writing prospectus prepared by or on behalf of us or to which we may have referred you. We do not take any responsibility for, and can provide no assurance as to the reliability of, any other information that others may give you. We have not authorized any other person to provide you with different or additional information, and we are not making an offer to sell securities in any jurisdiction where the offer or sale is not permitted. You should assume that the information appearing in this prospectus is accurate only as of the date hereof or, in the case of information incorporated or deemed incorporated by reference herein, as of the date thereof, or, in each case, as of any earlier date as of which such information is given, regardless of the time of delivery of the prospectus or any sale of securities. Our business, financial condition, results of operations and prospects may have changed since the date of such information.</w:t>
      </w:r>
    </w:p>
    <w:p>
      <w:pPr>
        <w:spacing w:after="0" w:line="152" w:lineRule="exact"/>
        <w:rPr>
          <w:sz w:val="20"/>
          <w:szCs w:val="20"/>
          <w:color w:val="auto"/>
        </w:rPr>
      </w:pPr>
    </w:p>
    <w:p>
      <w:pPr>
        <w:ind w:left="360" w:right="399" w:firstLine="332"/>
        <w:spacing w:after="0" w:line="247" w:lineRule="auto"/>
        <w:rPr>
          <w:sz w:val="20"/>
          <w:szCs w:val="20"/>
          <w:color w:val="auto"/>
        </w:rPr>
      </w:pPr>
      <w:r>
        <w:rPr>
          <w:rFonts w:ascii="Times New Roman" w:cs="Times New Roman" w:eastAsia="Times New Roman" w:hAnsi="Times New Roman"/>
          <w:sz w:val="14"/>
          <w:szCs w:val="14"/>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and “Incorporation of Information by Reference.”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4900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710" cy="4900930"/>
                    </a:xfrm>
                    <a:prstGeom prst="rect">
                      <a:avLst/>
                    </a:prstGeom>
                    <a:noFill/>
                  </pic:spPr>
                </pic:pic>
              </a:graphicData>
            </a:graphic>
          </wp:anchor>
        </w:drawing>
        <w:t>PROSPECTUS SUMMARY</w:t>
      </w:r>
    </w:p>
    <w:p>
      <w:pPr>
        <w:spacing w:after="0" w:line="167" w:lineRule="exact"/>
        <w:rPr>
          <w:sz w:val="20"/>
          <w:szCs w:val="20"/>
          <w:color w:val="auto"/>
        </w:rPr>
      </w:pPr>
    </w:p>
    <w:p>
      <w:pPr>
        <w:ind w:left="480" w:right="539" w:firstLine="321"/>
        <w:spacing w:after="0" w:line="24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or incorporated by reference into this prospectus. This summary does not contain all the information that you should consider before investing in our securities. Before investing in our securities, you should carefully read this entire prospectus, the applicable prospectus supplement and any related free writing prospectus, including the information under the caption “Risk Factors” herein and the applicable prospectus supplement and under similar headings in the other documents that are incorporated by reference into this prospectus, including our most recent Annual Report on Form 10-K and our Quarterly Reports on Form 10-Q since our most recent Form 10-K, if any, on file with the SEC, and any respective amendments thereto. You should also carefully read the other information incorporated by reference into this prospectus, including our financial statements and the related notes, and the exhibits to the registration statement of which this prospectus is a part.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87" w:lineRule="exact"/>
        <w:rPr>
          <w:sz w:val="20"/>
          <w:szCs w:val="20"/>
          <w:color w:val="auto"/>
        </w:rPr>
      </w:pPr>
    </w:p>
    <w:p>
      <w:pPr>
        <w:ind w:left="480" w:right="559" w:firstLine="321"/>
        <w:spacing w:after="0" w:line="249" w:lineRule="auto"/>
        <w:rPr>
          <w:sz w:val="20"/>
          <w:szCs w:val="20"/>
          <w:color w:val="auto"/>
        </w:rPr>
      </w:pPr>
      <w:r>
        <w:rPr>
          <w:rFonts w:ascii="Times New Roman" w:cs="Times New Roman" w:eastAsia="Times New Roman" w:hAnsi="Times New Roman"/>
          <w:sz w:val="14"/>
          <w:szCs w:val="14"/>
          <w:color w:val="auto"/>
        </w:rPr>
        <w:t>Founded in 1902,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146" w:lineRule="exact"/>
        <w:rPr>
          <w:sz w:val="20"/>
          <w:szCs w:val="20"/>
          <w:color w:val="auto"/>
        </w:rPr>
      </w:pPr>
    </w:p>
    <w:p>
      <w:pPr>
        <w:ind w:left="480" w:right="1099" w:firstLine="321"/>
        <w:spacing w:after="0" w:line="263" w:lineRule="auto"/>
        <w:rPr>
          <w:sz w:val="20"/>
          <w:szCs w:val="20"/>
          <w:color w:val="auto"/>
        </w:rPr>
      </w:pPr>
      <w:r>
        <w:rPr>
          <w:rFonts w:ascii="Times New Roman" w:cs="Times New Roman" w:eastAsia="Times New Roman" w:hAnsi="Times New Roman"/>
          <w:sz w:val="14"/>
          <w:szCs w:val="14"/>
          <w:color w:val="auto"/>
        </w:rPr>
        <w:t>The Company operates under two reporting segments (1) Rail, Technologies, and Services (“Rail”) and (2) Infrastructure Solutions (“Infrastructure”), each of which has certain business units, as described below:</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Rail, Technologies, and Services</w:t>
      </w:r>
    </w:p>
    <w:p>
      <w:pPr>
        <w:spacing w:after="0" w:line="87" w:lineRule="exact"/>
        <w:rPr>
          <w:sz w:val="20"/>
          <w:szCs w:val="20"/>
          <w:color w:val="auto"/>
        </w:rPr>
      </w:pPr>
    </w:p>
    <w:p>
      <w:pPr>
        <w:ind w:left="480" w:right="519" w:firstLine="321"/>
        <w:spacing w:after="0" w:line="245" w:lineRule="auto"/>
        <w:rPr>
          <w:sz w:val="20"/>
          <w:szCs w:val="20"/>
          <w:color w:val="auto"/>
        </w:rPr>
      </w:pPr>
      <w:r>
        <w:rPr>
          <w:rFonts w:ascii="Times New Roman" w:cs="Times New Roman" w:eastAsia="Times New Roman" w:hAnsi="Times New Roman"/>
          <w:sz w:val="14"/>
          <w:szCs w:val="14"/>
          <w:color w:val="auto"/>
        </w:rPr>
        <w:t>The Company’s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 Within Rail Products and Global Friction Management, we offer a full suite of track components and friction management products and services. Within Technology Services and Solutions, we focus on innovation, creating leading edge engineering and digital communication technology solutions for rail, infrastructure, and the built environment, including control and digital display, contract services, and condition monitoring solutions. The Technology Services and Solutions business unit also offers Total Track Monitoring railroad condition monitoring systems, equipment, and services.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Infrastructure Solutions</w:t>
      </w:r>
    </w:p>
    <w:p>
      <w:pPr>
        <w:spacing w:after="0" w:line="87" w:lineRule="exact"/>
        <w:rPr>
          <w:sz w:val="20"/>
          <w:szCs w:val="20"/>
          <w:color w:val="auto"/>
        </w:rPr>
      </w:pPr>
    </w:p>
    <w:p>
      <w:pPr>
        <w:ind w:left="480" w:right="699" w:firstLine="321"/>
        <w:spacing w:after="0" w:line="249" w:lineRule="auto"/>
        <w:rPr>
          <w:sz w:val="20"/>
          <w:szCs w:val="20"/>
          <w:color w:val="auto"/>
        </w:rPr>
      </w:pPr>
      <w:r>
        <w:rPr>
          <w:rFonts w:ascii="Times New Roman" w:cs="Times New Roman" w:eastAsia="Times New Roman" w:hAnsi="Times New Roman"/>
          <w:sz w:val="14"/>
          <w:szCs w:val="14"/>
          <w:color w:val="auto"/>
        </w:rPr>
        <w:t>The Infrastructure segment uses its industry expertise to design, manufacture, and deploy advanced technologies that positively impact the built environment, including precast concrete buildings and products, bridge products, and steel pipe protective coatings and threading. The Infrastructure segment is composed of ten operating facilities across the US providing engineered precast concrete solutions, fabricated bridge products, and protective pipe coating and threading offerings across North America.</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7" w:lineRule="exact"/>
        <w:rPr>
          <w:sz w:val="20"/>
          <w:szCs w:val="20"/>
          <w:color w:val="auto"/>
        </w:rPr>
      </w:pPr>
    </w:p>
    <w:p>
      <w:pPr>
        <w:ind w:left="480" w:right="619" w:firstLine="321"/>
        <w:spacing w:after="0" w:line="253" w:lineRule="auto"/>
        <w:rPr>
          <w:sz w:val="20"/>
          <w:szCs w:val="20"/>
          <w:color w:val="auto"/>
        </w:rPr>
      </w:pPr>
      <w:r>
        <w:rPr>
          <w:rFonts w:ascii="Times New Roman" w:cs="Times New Roman" w:eastAsia="Times New Roman" w:hAnsi="Times New Roman"/>
          <w:sz w:val="14"/>
          <w:szCs w:val="14"/>
          <w:color w:val="auto"/>
        </w:rPr>
        <w:t>We are organized under the laws of the Commonwealth of Pennsylvania. The address and telephone number of our principal executive offices are 415 Holiday Drive, Suite 100, Pittsburgh, Pennsylvania 15220, and (412) 928-3400. Our common stock is listed on the Nasdaq Global Select Market under the symbol “FSTR.”</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377" w:right="1440" w:bottom="1440" w:gutter="0" w:footer="0" w:header="0"/>
        </w:sectPr>
      </w:pPr>
    </w:p>
    <w:bookmarkStart w:id="5" w:name="page6"/>
    <w:bookmarkEnd w:id="5"/>
    <w:p>
      <w:pPr>
        <w:ind w:left="8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2523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710" cy="2523490"/>
                    </a:xfrm>
                    <a:prstGeom prst="rect">
                      <a:avLst/>
                    </a:prstGeom>
                    <a:noFill/>
                  </pic:spPr>
                </pic:pic>
              </a:graphicData>
            </a:graphic>
          </wp:anchor>
        </w:drawing>
        <w:t>Our Status as a Smaller Reporting Company</w:t>
      </w:r>
    </w:p>
    <w:p>
      <w:pPr>
        <w:spacing w:after="0" w:line="87" w:lineRule="exact"/>
        <w:rPr>
          <w:sz w:val="20"/>
          <w:szCs w:val="20"/>
          <w:color w:val="auto"/>
        </w:rPr>
      </w:pPr>
    </w:p>
    <w:p>
      <w:pPr>
        <w:ind w:left="480" w:right="539" w:firstLine="321"/>
        <w:spacing w:after="0" w:line="290" w:lineRule="auto"/>
        <w:rPr>
          <w:sz w:val="20"/>
          <w:szCs w:val="20"/>
          <w:color w:val="auto"/>
        </w:rPr>
      </w:pPr>
      <w:r>
        <w:rPr>
          <w:rFonts w:ascii="Times New Roman" w:cs="Times New Roman" w:eastAsia="Times New Roman" w:hAnsi="Times New Roman"/>
          <w:sz w:val="12"/>
          <w:szCs w:val="12"/>
          <w:color w:val="auto"/>
        </w:rPr>
        <w:t>We are currently a “smaller reporting company,” as defined in Rule 405 under the Securities Act. As a smaller reporting company, we may rely on exemptions from certain disclosure requirements that are available to us. For example, we are required to present only the two most recent fiscal years of audited financial statements in our Annual Report on Form 10-K and are subject to reduced disclosure obligations in our filings under the Securities Exchange Act of 1934, as amended (the “Exchange Act”).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of the most recent measurement date of June 30, 2026 (the end of our second fiscal quarter), we determined that we will no longer qualify as a smaller reporting company for the upcoming 2027 fiscal year. As such, following a phase-in period, will be required to comply with the additional legal and regulatory requirements applicable to public companies that are not smaller reporting companies and may incur significant legal, accounting and other expenses to do so.</w:t>
      </w:r>
    </w:p>
    <w:p>
      <w:pPr>
        <w:spacing w:after="0" w:line="3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Dulworth Acquisition</w:t>
      </w:r>
    </w:p>
    <w:p>
      <w:pPr>
        <w:spacing w:after="0" w:line="87" w:lineRule="exact"/>
        <w:rPr>
          <w:sz w:val="20"/>
          <w:szCs w:val="20"/>
          <w:color w:val="auto"/>
        </w:rPr>
      </w:pPr>
    </w:p>
    <w:p>
      <w:pPr>
        <w:ind w:left="480" w:right="499" w:firstLine="321"/>
        <w:spacing w:after="0" w:line="246" w:lineRule="auto"/>
        <w:rPr>
          <w:sz w:val="20"/>
          <w:szCs w:val="20"/>
          <w:color w:val="auto"/>
        </w:rPr>
      </w:pPr>
      <w:r>
        <w:rPr>
          <w:rFonts w:ascii="Times New Roman" w:cs="Times New Roman" w:eastAsia="Times New Roman" w:hAnsi="Times New Roman"/>
          <w:sz w:val="14"/>
          <w:szCs w:val="14"/>
          <w:color w:val="auto"/>
        </w:rPr>
        <w:t>As previously reported in a Current Report on Form 8-K, on October 28, 2026, CXT Incorporated (“CXT”), a wholly owned subsidiary of the Company, entered into an Asset Purchase Agreement with Dulworth Enterprises, Inc., a Texas corporation (“Dulworth”) and the other seller parties named therein, for CXT to acquire the operating assets of Dulworth for a purchase price of $52,180,000 in cash, subject to customary indemnification holdbacks (the “Transaction”). The Transaction closed October 28, 2026. The Company funded the full consideration for the acquisition with cash on hand and available funds from its existing revolving credit facility. The acquired business will be integrated into the Company’s Precast Concrete Products business unit within its Infrastructure Solutions segment.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7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710" cy="32385"/>
                    </a:xfrm>
                    <a:prstGeom prst="rect">
                      <a:avLst/>
                    </a:prstGeom>
                    <a:noFill/>
                  </pic:spPr>
                </pic:pic>
              </a:graphicData>
            </a:graphic>
          </wp:anchor>
        </w:drawing>
        <w:t>RISK FACTORS</w:t>
      </w:r>
    </w:p>
    <w:p>
      <w:pPr>
        <w:spacing w:after="0" w:line="169" w:lineRule="exact"/>
        <w:rPr>
          <w:sz w:val="20"/>
          <w:szCs w:val="20"/>
          <w:color w:val="auto"/>
        </w:rPr>
      </w:pPr>
    </w:p>
    <w:p>
      <w:pPr>
        <w:ind w:left="360" w:right="399" w:firstLine="332"/>
        <w:spacing w:after="0" w:line="290" w:lineRule="auto"/>
        <w:rPr>
          <w:sz w:val="20"/>
          <w:szCs w:val="20"/>
          <w:color w:val="auto"/>
        </w:rPr>
      </w:pPr>
      <w:r>
        <w:rPr>
          <w:rFonts w:ascii="Times New Roman" w:cs="Times New Roman" w:eastAsia="Times New Roman" w:hAnsi="Times New Roman"/>
          <w:sz w:val="12"/>
          <w:szCs w:val="12"/>
          <w:color w:val="auto"/>
        </w:rPr>
        <w:t>An investment in our securities involves a high degree of risk. Before deciding whether to invest in our securities, you should carefully consider the risks, uncertainties and assumptions discussed under the heading “Risk Factors,” in our Annual Report on Form 10-K for our most recently completed fiscal year, in any Quarterly Reports on Form 10-Q that have been filed since our most recent Annual Report on Form 10-K and in any other documents that we file (not furnish) with the SEC in the future, together with all of the other information appearing or incorporated by reference in this prospectus. See “Where You Can Find More Information” and “Incorporation of Information By Reference.” In addition, any prospectus supplement relating to an offering of our securities pursuant to this prospectus may contain a discussion of further risks applicable to an investment in our securities, which you should carefully consider prior to making a decision about investing in our securities. The risks and uncertainties we have described are not the only ones we face. The occurrence of any of these risks, or additional risks and uncertainties not presently known to us or that we currently deem immaterial, could materially and adversely affect our business, financial condition or results of operations and cause the value of our securities to decline. You could lose all or part of your investment in the offered securities. See also “Forward-Looking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710" cy="32385"/>
                    </a:xfrm>
                    <a:prstGeom prst="rect">
                      <a:avLst/>
                    </a:prstGeom>
                    <a:noFill/>
                  </pic:spPr>
                </pic:pic>
              </a:graphicData>
            </a:graphic>
          </wp:anchor>
        </w:drawing>
        <w:t>FORWARD-LOOKING STATEMENTS</w:t>
      </w:r>
    </w:p>
    <w:p>
      <w:pPr>
        <w:spacing w:after="0" w:line="169" w:lineRule="exact"/>
        <w:rPr>
          <w:sz w:val="20"/>
          <w:szCs w:val="20"/>
          <w:color w:val="auto"/>
        </w:rPr>
      </w:pPr>
    </w:p>
    <w:p>
      <w:pPr>
        <w:ind w:left="360" w:right="379" w:firstLine="332"/>
        <w:spacing w:after="0" w:line="24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This prospectus, any accompanying prospectus supplement and the documents incorporated by reference herein and therein contain “forward-looking” statements within the meaning of Section 21E of the Exchange Act, and Section 27A of the Securities Act. These statements are included </w:t>
      </w:r>
      <w:hyperlink r:id="rId30">
        <w:r>
          <w:rPr>
            <w:rFonts w:ascii="Times New Roman" w:cs="Times New Roman" w:eastAsia="Times New Roman" w:hAnsi="Times New Roman"/>
            <w:sz w:val="14"/>
            <w:szCs w:val="14"/>
            <w:color w:val="auto"/>
          </w:rPr>
          <w:t xml:space="preserve">throughout such documents, including within Part I, Item 1A., “Risk Factors”, and elsewhere in our </w:t>
        </w:r>
        <w:r>
          <w:rPr>
            <w:rFonts w:ascii="Times New Roman" w:cs="Times New Roman" w:eastAsia="Times New Roman" w:hAnsi="Times New Roman"/>
            <w:sz w:val="14"/>
            <w:szCs w:val="14"/>
            <w:u w:val="single" w:color="auto"/>
            <w:color w:val="0000EE"/>
          </w:rPr>
          <w:t>Annual Report on Form 10-K for the fiscal year</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ended December 31, 2025</w:t>
        </w:r>
        <w:r>
          <w:rPr>
            <w:rFonts w:ascii="Times New Roman" w:cs="Times New Roman" w:eastAsia="Times New Roman" w:hAnsi="Times New Roman"/>
            <w:sz w:val="14"/>
            <w:szCs w:val="14"/>
            <w:color w:val="000000"/>
          </w:rPr>
          <w:t xml:space="preserve">. Forward-looking statements provide management’s current expectations of future events based on certain assumptions </w:t>
        </w:r>
      </w:hyperlink>
      <w:r>
        <w:rPr>
          <w:rFonts w:ascii="Times New Roman" w:cs="Times New Roman" w:eastAsia="Times New Roman" w:hAnsi="Times New Roman"/>
          <w:sz w:val="14"/>
          <w:szCs w:val="14"/>
          <w:color w:val="0000EE"/>
        </w:rPr>
        <w:t xml:space="preserve">and </w:t>
      </w:r>
      <w:r>
        <w:rPr>
          <w:rFonts w:ascii="Times New Roman" w:cs="Times New Roman" w:eastAsia="Times New Roman" w:hAnsi="Times New Roman"/>
          <w:sz w:val="14"/>
          <w:szCs w:val="14"/>
          <w:color w:val="000000"/>
        </w:rPr>
        <w:t>include any statement that does not directly relate to any historical or current fact. Sentences containing words such as “believe,” “intend,” “plan,” “may,” “will,” “expect,” “should,” “could,” “continue,” “anticipate,” “estimate,” “predict,” “project,” or their negatives, or other similar expressions of a future or forward-looking nature generally should be considered forward-looking statements.</w:t>
      </w:r>
    </w:p>
    <w:p>
      <w:pPr>
        <w:spacing w:after="0" w:line="147" w:lineRule="exact"/>
        <w:rPr>
          <w:sz w:val="20"/>
          <w:szCs w:val="20"/>
          <w:color w:val="auto"/>
        </w:rPr>
      </w:pPr>
    </w:p>
    <w:p>
      <w:pPr>
        <w:ind w:left="360" w:right="419" w:firstLine="332"/>
        <w:spacing w:after="0" w:line="245" w:lineRule="auto"/>
        <w:rPr>
          <w:sz w:val="20"/>
          <w:szCs w:val="20"/>
          <w:color w:val="auto"/>
        </w:rPr>
      </w:pPr>
      <w:r>
        <w:rPr>
          <w:rFonts w:ascii="Times New Roman" w:cs="Times New Roman" w:eastAsia="Times New Roman" w:hAnsi="Times New Roman"/>
          <w:sz w:val="14"/>
          <w:szCs w:val="14"/>
          <w:color w:val="auto"/>
        </w:rPr>
        <w:t>Forward-looking statements are based on the Company’s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that various factors could cause the actual results of the Company to differ materially from those indicated by forward-looking statements. Accordingly, investors should not place undue reliance on forward-looking statements as a prediction of actual results.</w:t>
      </w:r>
    </w:p>
    <w:p>
      <w:pPr>
        <w:spacing w:after="0" w:line="151" w:lineRule="exact"/>
        <w:rPr>
          <w:sz w:val="20"/>
          <w:szCs w:val="20"/>
          <w:color w:val="auto"/>
        </w:rPr>
      </w:pPr>
    </w:p>
    <w:p>
      <w:pPr>
        <w:ind w:left="360" w:right="379" w:firstLine="332"/>
        <w:spacing w:after="0" w:line="286" w:lineRule="auto"/>
        <w:rPr>
          <w:sz w:val="20"/>
          <w:szCs w:val="20"/>
          <w:color w:val="auto"/>
        </w:rPr>
      </w:pPr>
      <w:r>
        <w:rPr>
          <w:rFonts w:ascii="Times New Roman" w:cs="Times New Roman" w:eastAsia="Times New Roman" w:hAnsi="Times New Roman"/>
          <w:sz w:val="12"/>
          <w:szCs w:val="12"/>
          <w:color w:val="auto"/>
        </w:rPr>
        <w:t>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including but not limited to the acquisition of Dulworth Enterprises Inc.;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5" w:right="1440" w:bottom="1440" w:gutter="0" w:footer="0" w:header="0"/>
        </w:sectPr>
      </w:pPr>
    </w:p>
    <w:bookmarkStart w:id="8" w:name="page9"/>
    <w:bookmarkEnd w:id="8"/>
    <w:p>
      <w:pPr>
        <w:ind w:left="360" w:right="379"/>
        <w:spacing w:after="0" w:line="29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04710" cy="32385"/>
                    </a:xfrm>
                    <a:prstGeom prst="rect">
                      <a:avLst/>
                    </a:prstGeom>
                    <a:noFill/>
                  </pic:spPr>
                </pic:pic>
              </a:graphicData>
            </a:graphic>
          </wp:anchor>
        </w:drawing>
        <w:t xml:space="preserve">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These and other risks and uncertainties are described under Part I, Item 1A., “Risk Factors” and elsewhere in our </w:t>
      </w:r>
      <w:hyperlink r:id="rId30">
        <w:r>
          <w:rPr>
            <w:rFonts w:ascii="Times New Roman" w:cs="Times New Roman" w:eastAsia="Times New Roman" w:hAnsi="Times New Roman"/>
            <w:sz w:val="12"/>
            <w:szCs w:val="12"/>
            <w:u w:val="single" w:color="auto"/>
            <w:color w:val="0000EE"/>
          </w:rPr>
          <w:t>2025 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and in other documents we subsequently file from time to time with the SEC.</w:t>
      </w:r>
    </w:p>
    <w:p>
      <w:pPr>
        <w:spacing w:after="0" w:line="290" w:lineRule="exact"/>
        <w:rPr>
          <w:sz w:val="20"/>
          <w:szCs w:val="20"/>
          <w:color w:val="auto"/>
        </w:rPr>
      </w:pPr>
    </w:p>
    <w:p>
      <w:pPr>
        <w:ind w:left="360" w:right="439" w:firstLine="332"/>
        <w:spacing w:after="0" w:line="246" w:lineRule="auto"/>
        <w:rPr>
          <w:sz w:val="20"/>
          <w:szCs w:val="20"/>
          <w:color w:val="auto"/>
        </w:rPr>
      </w:pPr>
      <w:r>
        <w:rPr>
          <w:rFonts w:ascii="Times New Roman" w:cs="Times New Roman" w:eastAsia="Times New Roman" w:hAnsi="Times New Roman"/>
          <w:sz w:val="14"/>
          <w:szCs w:val="14"/>
          <w:color w:val="auto"/>
        </w:rPr>
        <w:t>In light of these risks, uncertainties and assumptions, the forward-looking events and circumstances discussed in this prospectus or in any document or information incorporated by reference herein may not occur and actual results could differ materially from those anticipated or implied in the forward-looking statements. All forward-looking statements in this prospectus are based on information available to us as of the date hereof, such information may be limited or incomplete, and we assume no obligation to update or revise any such forward-looking statements, whether as a result of new information, future events or otherwise, except as required by law. These statements are inherently uncertain, and investors are cautioned not to unduly rely upon these statements. All subsequent written and oral forward-looking statements attributable to us or persons acting on our behalf are expressly qualified in their entirety by the cautionary statements included in this prospectus.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04710" cy="32385"/>
                    </a:xfrm>
                    <a:prstGeom prst="rect">
                      <a:avLst/>
                    </a:prstGeom>
                    <a:noFill/>
                  </pic:spPr>
                </pic:pic>
              </a:graphicData>
            </a:graphic>
          </wp:anchor>
        </w:drawing>
        <w:t>WHERE YOU CAN FIND MORE INFORMATION</w:t>
      </w:r>
    </w:p>
    <w:p>
      <w:pPr>
        <w:spacing w:after="0" w:line="169" w:lineRule="exact"/>
        <w:rPr>
          <w:sz w:val="20"/>
          <w:szCs w:val="20"/>
          <w:color w:val="auto"/>
        </w:rPr>
      </w:pPr>
    </w:p>
    <w:p>
      <w:pPr>
        <w:ind w:left="360" w:right="519" w:firstLine="332"/>
        <w:spacing w:after="0" w:line="299"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S-3 relating to the securities covered by this prospectus. This prospectus is part of the registration statement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117" w:lineRule="exact"/>
        <w:rPr>
          <w:sz w:val="20"/>
          <w:szCs w:val="20"/>
          <w:color w:val="auto"/>
        </w:rPr>
      </w:pPr>
    </w:p>
    <w:p>
      <w:pPr>
        <w:ind w:left="360" w:right="519" w:firstLine="332"/>
        <w:spacing w:after="0" w:line="249" w:lineRule="auto"/>
        <w:rPr>
          <w:sz w:val="20"/>
          <w:szCs w:val="20"/>
          <w:color w:val="auto"/>
        </w:rPr>
      </w:pPr>
      <w:r>
        <w:rPr>
          <w:rFonts w:ascii="Times New Roman" w:cs="Times New Roman" w:eastAsia="Times New Roman" w:hAnsi="Times New Roman"/>
          <w:sz w:val="14"/>
          <w:szCs w:val="14"/>
          <w:color w:val="auto"/>
        </w:rPr>
        <w:t>We are subject to the informational reporting requirements of the Exchange Act. We file annual, quarterly and current reports, proxy statements and other information with the SEC. The SEC maintains an Internet site that contains reports, proxy and information statements and other information regarding issuers that file electronically with the SEC. Our filings with the SEC are available to the public through the SEC’s website at http://www.sec.gov. You may obtain a copy of the registration statement through the SEC’s website.</w:t>
      </w:r>
    </w:p>
    <w:p>
      <w:pPr>
        <w:spacing w:after="0" w:line="146" w:lineRule="exact"/>
        <w:rPr>
          <w:sz w:val="20"/>
          <w:szCs w:val="20"/>
          <w:color w:val="auto"/>
        </w:rPr>
      </w:pPr>
    </w:p>
    <w:p>
      <w:pPr>
        <w:ind w:left="360" w:right="399" w:firstLine="332"/>
        <w:spacing w:after="0" w:line="247" w:lineRule="auto"/>
        <w:rPr>
          <w:sz w:val="20"/>
          <w:szCs w:val="20"/>
          <w:color w:val="auto"/>
        </w:rPr>
      </w:pPr>
      <w:r>
        <w:rPr>
          <w:rFonts w:ascii="Times New Roman" w:cs="Times New Roman" w:eastAsia="Times New Roman" w:hAnsi="Times New Roman"/>
          <w:sz w:val="14"/>
          <w:szCs w:val="14"/>
          <w:color w:val="auto"/>
        </w:rPr>
        <w:t>We make available, free of charge, on or through our website our Annual Reports on Form 10-K, Quarterly Reports on Form 10-Q and Current Reports on Form 8-K, and any amendments to these reports, as soon as reasonably practicable after we electronically file such information with, or furnish such information to, the SEC. You may access these documents on our website at https://investors.lbfoster.com. Information on our website does not constitute part of this prospectus, other than the documents we have filed with the SEC that are expressly incorporated by reference into this prospectus.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5"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04710" cy="32385"/>
                    </a:xfrm>
                    <a:prstGeom prst="rect">
                      <a:avLst/>
                    </a:prstGeom>
                    <a:noFill/>
                  </pic:spPr>
                </pic:pic>
              </a:graphicData>
            </a:graphic>
          </wp:anchor>
        </w:drawing>
        <w:t>INCORPORATION OF INFORMATION BY REFERENCE</w:t>
      </w:r>
    </w:p>
    <w:p>
      <w:pPr>
        <w:spacing w:after="0" w:line="169" w:lineRule="exact"/>
        <w:rPr>
          <w:sz w:val="20"/>
          <w:szCs w:val="20"/>
          <w:color w:val="auto"/>
        </w:rPr>
      </w:pPr>
    </w:p>
    <w:p>
      <w:pPr>
        <w:ind w:left="360" w:right="539" w:firstLine="332"/>
        <w:spacing w:after="0" w:line="247"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you should read it with the same care. Later information that we file with the SEC will automatically update and supersede this information and will be deemed to be incorporated by reference into this prospectus (other than any documents, or portions of documents, not deemed to be filed). We incorporate by reference the following documents previously filed with the SEC:</w:t>
      </w:r>
    </w:p>
    <w:p>
      <w:pPr>
        <w:spacing w:after="0" w:line="77" w:lineRule="exact"/>
        <w:rPr>
          <w:sz w:val="20"/>
          <w:szCs w:val="20"/>
          <w:color w:val="auto"/>
        </w:rPr>
      </w:pPr>
    </w:p>
    <w:p>
      <w:pPr>
        <w:ind w:left="1080" w:right="959" w:hanging="321"/>
        <w:spacing w:after="0" w:line="263" w:lineRule="auto"/>
        <w:tabs>
          <w:tab w:leader="none" w:pos="1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0">
        <w:r>
          <w:rPr>
            <w:rFonts w:ascii="Times New Roman" w:cs="Times New Roman" w:eastAsia="Times New Roman" w:hAnsi="Times New Roman"/>
            <w:sz w:val="14"/>
            <w:szCs w:val="14"/>
            <w:u w:val="single" w:color="auto"/>
            <w:color w:val="0000EE"/>
          </w:rPr>
          <w:t>Annual Report on Form 10-K for the fiscal year ended December 31, 2025</w:t>
        </w:r>
      </w:hyperlink>
      <w:r>
        <w:rPr>
          <w:rFonts w:ascii="Times New Roman" w:cs="Times New Roman" w:eastAsia="Times New Roman" w:hAnsi="Times New Roman"/>
          <w:sz w:val="14"/>
          <w:szCs w:val="14"/>
          <w:color w:val="auto"/>
        </w:rPr>
        <w:t>, filed with the SEC on March 5, 2026 (our “2025 Form 10-K”);</w:t>
      </w:r>
    </w:p>
    <w:p>
      <w:pPr>
        <w:spacing w:after="0" w:line="64" w:lineRule="exact"/>
        <w:rPr>
          <w:rFonts w:ascii="Times New Roman" w:cs="Times New Roman" w:eastAsia="Times New Roman" w:hAnsi="Times New Roman"/>
          <w:sz w:val="14"/>
          <w:szCs w:val="14"/>
          <w:color w:val="auto"/>
        </w:rPr>
      </w:pPr>
    </w:p>
    <w:p>
      <w:pPr>
        <w:ind w:left="1080" w:right="499" w:hanging="321"/>
        <w:spacing w:after="0" w:line="263" w:lineRule="auto"/>
        <w:tabs>
          <w:tab w:leader="none" w:pos="1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our </w:t>
      </w:r>
      <w:hyperlink r:id="rId34">
        <w:r>
          <w:rPr>
            <w:rFonts w:ascii="Times New Roman" w:cs="Times New Roman" w:eastAsia="Times New Roman" w:hAnsi="Times New Roman"/>
            <w:sz w:val="14"/>
            <w:szCs w:val="14"/>
            <w:u w:val="single" w:color="auto"/>
            <w:color w:val="0000EE"/>
          </w:rPr>
          <w:t>Definitive Proxy Statement on Schedule 14A for our 2026 Annual Meeting of Shareholders</w:t>
        </w:r>
      </w:hyperlink>
      <w:r>
        <w:rPr>
          <w:rFonts w:ascii="Times New Roman" w:cs="Times New Roman" w:eastAsia="Times New Roman" w:hAnsi="Times New Roman"/>
          <w:sz w:val="14"/>
          <w:szCs w:val="14"/>
          <w:color w:val="auto"/>
        </w:rPr>
        <w:t>, filed with the SEC on April 10, 2026, that is incorporated by reference into Part III of our 2025 Form 10-K;</w:t>
      </w:r>
    </w:p>
    <w:p>
      <w:pPr>
        <w:spacing w:after="0" w:line="64" w:lineRule="exact"/>
        <w:rPr>
          <w:rFonts w:ascii="Times New Roman" w:cs="Times New Roman" w:eastAsia="Times New Roman" w:hAnsi="Times New Roman"/>
          <w:sz w:val="14"/>
          <w:szCs w:val="14"/>
          <w:color w:val="auto"/>
        </w:rPr>
      </w:pPr>
    </w:p>
    <w:p>
      <w:pPr>
        <w:ind w:left="1080" w:right="539" w:hanging="321"/>
        <w:spacing w:after="0" w:line="263" w:lineRule="auto"/>
        <w:tabs>
          <w:tab w:leader="none" w:pos="1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w:t>
      </w:r>
      <w:hyperlink r:id="rId35">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June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7">
        <w:r>
          <w:rPr>
            <w:rFonts w:ascii="Times New Roman" w:cs="Times New Roman" w:eastAsia="Times New Roman" w:hAnsi="Times New Roman"/>
            <w:sz w:val="14"/>
            <w:szCs w:val="14"/>
            <w:u w:val="single" w:color="auto"/>
            <w:color w:val="0000EE"/>
          </w:rPr>
          <w:t>September 30, 2026</w:t>
        </w:r>
      </w:hyperlink>
      <w:r>
        <w:rPr>
          <w:rFonts w:ascii="Times New Roman" w:cs="Times New Roman" w:eastAsia="Times New Roman" w:hAnsi="Times New Roman"/>
          <w:sz w:val="14"/>
          <w:szCs w:val="14"/>
          <w:color w:val="auto"/>
        </w:rPr>
        <w:t>, filed with the SEC on May 4, 2026, August 10, 2026 and November 4, 2026, respectively;</w:t>
      </w:r>
    </w:p>
    <w:p>
      <w:pPr>
        <w:spacing w:after="0" w:line="64" w:lineRule="exact"/>
        <w:rPr>
          <w:rFonts w:ascii="Times New Roman" w:cs="Times New Roman" w:eastAsia="Times New Roman" w:hAnsi="Times New Roman"/>
          <w:sz w:val="14"/>
          <w:szCs w:val="14"/>
          <w:color w:val="auto"/>
        </w:rPr>
      </w:pPr>
    </w:p>
    <w:p>
      <w:pPr>
        <w:ind w:left="1080" w:right="519" w:hanging="321"/>
        <w:spacing w:after="0" w:line="263" w:lineRule="auto"/>
        <w:tabs>
          <w:tab w:leader="none" w:pos="1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8">
        <w:r>
          <w:rPr>
            <w:rFonts w:ascii="Times New Roman" w:cs="Times New Roman" w:eastAsia="Times New Roman" w:hAnsi="Times New Roman"/>
            <w:sz w:val="14"/>
            <w:szCs w:val="14"/>
            <w:u w:val="single" w:color="auto"/>
            <w:color w:val="0000EE"/>
          </w:rPr>
          <w:t>May 21, 2026</w:t>
        </w:r>
      </w:hyperlink>
      <w:r>
        <w:rPr>
          <w:rFonts w:ascii="Times New Roman" w:cs="Times New Roman" w:eastAsia="Times New Roman" w:hAnsi="Times New Roman"/>
          <w:sz w:val="14"/>
          <w:szCs w:val="14"/>
          <w:color w:val="auto"/>
        </w:rPr>
        <w:t xml:space="preserve">, </w:t>
      </w:r>
      <w:hyperlink r:id="rId39">
        <w:r>
          <w:rPr>
            <w:rFonts w:ascii="Times New Roman" w:cs="Times New Roman" w:eastAsia="Times New Roman" w:hAnsi="Times New Roman"/>
            <w:sz w:val="14"/>
            <w:szCs w:val="14"/>
            <w:u w:val="single" w:color="auto"/>
            <w:color w:val="0000EE"/>
          </w:rPr>
          <w:t>May 22, 2026</w:t>
        </w:r>
      </w:hyperlink>
      <w:r>
        <w:rPr>
          <w:rFonts w:ascii="Times New Roman" w:cs="Times New Roman" w:eastAsia="Times New Roman" w:hAnsi="Times New Roman"/>
          <w:sz w:val="14"/>
          <w:szCs w:val="14"/>
          <w:color w:val="auto"/>
        </w:rPr>
        <w:t xml:space="preserve">, </w:t>
      </w:r>
      <w:hyperlink r:id="rId40">
        <w:r>
          <w:rPr>
            <w:rFonts w:ascii="Times New Roman" w:cs="Times New Roman" w:eastAsia="Times New Roman" w:hAnsi="Times New Roman"/>
            <w:sz w:val="14"/>
            <w:szCs w:val="14"/>
            <w:u w:val="single" w:color="auto"/>
            <w:color w:val="0000EE"/>
          </w:rPr>
          <w:t>July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(except for portions deemed to be furnished and not filed) and </w:t>
      </w:r>
      <w:hyperlink r:id="rId41">
        <w:r>
          <w:rPr>
            <w:rFonts w:ascii="Times New Roman" w:cs="Times New Roman" w:eastAsia="Times New Roman" w:hAnsi="Times New Roman"/>
            <w:sz w:val="14"/>
            <w:szCs w:val="14"/>
            <w:u w:val="single" w:color="auto"/>
            <w:color w:val="0000EE"/>
          </w:rPr>
          <w:t>October 29,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(except for portions deemed to be furnished and not filed); and</w:t>
      </w:r>
    </w:p>
    <w:p>
      <w:pPr>
        <w:spacing w:after="0" w:line="64" w:lineRule="exact"/>
        <w:rPr>
          <w:rFonts w:ascii="Times New Roman" w:cs="Times New Roman" w:eastAsia="Times New Roman" w:hAnsi="Times New Roman"/>
          <w:sz w:val="14"/>
          <w:szCs w:val="14"/>
          <w:color w:val="auto"/>
        </w:rPr>
      </w:pPr>
    </w:p>
    <w:p>
      <w:pPr>
        <w:jc w:val="both"/>
        <w:ind w:left="1080" w:right="519" w:hanging="321"/>
        <w:spacing w:after="0" w:line="253" w:lineRule="auto"/>
        <w:tabs>
          <w:tab w:leader="none" w:pos="1080" w:val="left"/>
        </w:tabs>
        <w:numPr>
          <w:ilvl w:val="0"/>
          <w:numId w:val="1"/>
        </w:numPr>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auto"/>
          </w:rPr>
          <w:t xml:space="preserve">the description of our capital stock contained in our </w:t>
        </w:r>
        <w:r>
          <w:rPr>
            <w:rFonts w:ascii="Times New Roman" w:cs="Times New Roman" w:eastAsia="Times New Roman" w:hAnsi="Times New Roman"/>
            <w:sz w:val="14"/>
            <w:szCs w:val="14"/>
            <w:u w:val="single" w:color="auto"/>
            <w:color w:val="0000EE"/>
          </w:rPr>
          <w:t>Amended Registration Statement on Form 8-A/A filed with the SEC on August 31,</w:t>
        </w:r>
      </w:hyperlink>
      <w:r>
        <w:rPr>
          <w:rFonts w:ascii="Times New Roman" w:cs="Times New Roman" w:eastAsia="Times New Roman" w:hAnsi="Times New Roman"/>
          <w:sz w:val="14"/>
          <w:szCs w:val="14"/>
          <w:color w:val="auto"/>
        </w:rPr>
        <w:t xml:space="preserve"> </w:t>
      </w:r>
      <w:hyperlink r:id="rId42">
        <w:r>
          <w:rPr>
            <w:rFonts w:ascii="Times New Roman" w:cs="Times New Roman" w:eastAsia="Times New Roman" w:hAnsi="Times New Roman"/>
            <w:sz w:val="14"/>
            <w:szCs w:val="14"/>
            <w:u w:val="single" w:color="auto"/>
            <w:color w:val="0000EE"/>
          </w:rPr>
          <w:t>1998</w:t>
        </w:r>
        <w:r>
          <w:rPr>
            <w:rFonts w:ascii="Times New Roman" w:cs="Times New Roman" w:eastAsia="Times New Roman" w:hAnsi="Times New Roman"/>
            <w:sz w:val="14"/>
            <w:szCs w:val="14"/>
            <w:color w:val="000000"/>
          </w:rPr>
          <w:t>, as updated by the description of our capital stock included in</w:t>
        </w:r>
        <w:r>
          <w:rPr>
            <w:rFonts w:ascii="Times New Roman" w:cs="Times New Roman" w:eastAsia="Times New Roman" w:hAnsi="Times New Roman"/>
            <w:sz w:val="14"/>
            <w:szCs w:val="14"/>
            <w:color w:val="0000EE"/>
          </w:rPr>
          <w:t xml:space="preserve"> </w:t>
        </w:r>
      </w:hyperlink>
      <w:hyperlink r:id="rId43">
        <w:r>
          <w:rPr>
            <w:rFonts w:ascii="Times New Roman" w:cs="Times New Roman" w:eastAsia="Times New Roman" w:hAnsi="Times New Roman"/>
            <w:sz w:val="14"/>
            <w:szCs w:val="14"/>
            <w:u w:val="single" w:color="auto"/>
            <w:color w:val="0000EE"/>
          </w:rPr>
          <w:t xml:space="preserve">Exhibit 4.1 </w:t>
        </w:r>
      </w:hyperlink>
      <w:hyperlink r:id="rId42">
        <w:r>
          <w:rPr>
            <w:rFonts w:ascii="Times New Roman" w:cs="Times New Roman" w:eastAsia="Times New Roman" w:hAnsi="Times New Roman"/>
            <w:sz w:val="14"/>
            <w:szCs w:val="14"/>
            <w:color w:val="000000"/>
          </w:rPr>
          <w:t>to our 2025 Form 10-K, including any subsequently filed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amendment or report updating such description.</w:t>
      </w:r>
    </w:p>
    <w:p>
      <w:pPr>
        <w:spacing w:after="0" w:line="142" w:lineRule="exact"/>
        <w:rPr>
          <w:rFonts w:ascii="Times New Roman" w:cs="Times New Roman" w:eastAsia="Times New Roman" w:hAnsi="Times New Roman"/>
          <w:sz w:val="14"/>
          <w:szCs w:val="14"/>
          <w:color w:val="0000EE"/>
        </w:rPr>
      </w:pPr>
    </w:p>
    <w:p>
      <w:pPr>
        <w:ind w:left="360" w:right="939" w:firstLine="332"/>
        <w:spacing w:after="0" w:line="263" w:lineRule="auto"/>
        <w:rPr>
          <w:sz w:val="20"/>
          <w:szCs w:val="20"/>
          <w:color w:val="auto"/>
        </w:rPr>
      </w:pPr>
      <w:r>
        <w:rPr>
          <w:rFonts w:ascii="Times New Roman" w:cs="Times New Roman" w:eastAsia="Times New Roman" w:hAnsi="Times New Roman"/>
          <w:sz w:val="14"/>
          <w:szCs w:val="14"/>
          <w:color w:val="auto"/>
        </w:rPr>
        <w:t>We are also incorporating by reference all additional documents that we file with the SEC under Sections 13(a), 13(c), 14 or 15(d) of the Exchange Act after the date of this prospectus until the offerings contemplated by this prospectus are completed or terminated.</w:t>
      </w:r>
    </w:p>
    <w:p>
      <w:pPr>
        <w:spacing w:after="0" w:line="136" w:lineRule="exact"/>
        <w:rPr>
          <w:rFonts w:ascii="Times New Roman" w:cs="Times New Roman" w:eastAsia="Times New Roman" w:hAnsi="Times New Roman"/>
          <w:sz w:val="14"/>
          <w:szCs w:val="14"/>
          <w:color w:val="0000EE"/>
        </w:rPr>
      </w:pPr>
    </w:p>
    <w:p>
      <w:pPr>
        <w:ind w:left="360" w:right="419" w:firstLine="332"/>
        <w:spacing w:after="0" w:line="249"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a copy of any or all of the documents or information that have been incorporated by reference in this prospectus but not delivered with this prospectus. You may request a copy of these filings (other than an exhibit to a filing unless that exhibit is specifically incorporated by reference into that filing) at no cost, by writing to or telephoning us at the following address and telephone number:</w:t>
      </w:r>
    </w:p>
    <w:p>
      <w:pPr>
        <w:spacing w:after="0" w:line="6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L.B. Foster Company</w:t>
      </w:r>
    </w:p>
    <w:p>
      <w:pPr>
        <w:spacing w:after="0" w:line="14"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415 Holiday Drive, Suite 100</w:t>
      </w:r>
    </w:p>
    <w:p>
      <w:pPr>
        <w:spacing w:after="0" w:line="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Pittsburgh, PA 15220</w:t>
      </w:r>
    </w:p>
    <w:p>
      <w:pPr>
        <w:spacing w:after="0" w:line="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(412) 928-3400</w:t>
      </w:r>
    </w:p>
    <w:p>
      <w:pPr>
        <w:spacing w:after="0" w:line="153" w:lineRule="exact"/>
        <w:rPr>
          <w:rFonts w:ascii="Times New Roman" w:cs="Times New Roman" w:eastAsia="Times New Roman" w:hAnsi="Times New Roman"/>
          <w:sz w:val="14"/>
          <w:szCs w:val="14"/>
          <w:color w:val="0000EE"/>
        </w:rPr>
      </w:pPr>
    </w:p>
    <w:p>
      <w:pPr>
        <w:ind w:left="360" w:right="479" w:firstLine="332"/>
        <w:spacing w:after="0" w:line="249" w:lineRule="auto"/>
        <w:rPr>
          <w:sz w:val="20"/>
          <w:szCs w:val="20"/>
          <w:color w:val="auto"/>
        </w:rPr>
      </w:pPr>
      <w:r>
        <w:rPr>
          <w:rFonts w:ascii="Times New Roman" w:cs="Times New Roman" w:eastAsia="Times New Roman" w:hAnsi="Times New Roman"/>
          <w:sz w:val="14"/>
          <w:szCs w:val="14"/>
          <w:color w:val="auto"/>
        </w:rPr>
        <w:t>Any statement in this prospectus or incorporated by reference into this prospectus shall be automatically modified or superseded for purposes of this prospectus to the extent that a statement contained herein or in a subsequently filed document that is incorporated by reference into this prospectus modifies or supersedes such prior statement. Any statement so modified or superseded shall not be deemed, except as so modified or superseded, to constitute a part of this prospectus.</w:t>
      </w:r>
    </w:p>
    <w:p>
      <w:pPr>
        <w:spacing w:after="0" w:line="146" w:lineRule="exact"/>
        <w:rPr>
          <w:rFonts w:ascii="Times New Roman" w:cs="Times New Roman" w:eastAsia="Times New Roman" w:hAnsi="Times New Roman"/>
          <w:sz w:val="14"/>
          <w:szCs w:val="14"/>
          <w:color w:val="0000EE"/>
        </w:rPr>
      </w:pPr>
    </w:p>
    <w:p>
      <w:pPr>
        <w:ind w:left="360" w:right="379" w:firstLine="332"/>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91"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5"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204710" cy="32385"/>
                    </a:xfrm>
                    <a:prstGeom prst="rect">
                      <a:avLst/>
                    </a:prstGeom>
                    <a:noFill/>
                  </pic:spPr>
                </pic:pic>
              </a:graphicData>
            </a:graphic>
          </wp:anchor>
        </w:drawing>
        <w:t>USE OF PROCEEDS</w:t>
      </w:r>
    </w:p>
    <w:p>
      <w:pPr>
        <w:spacing w:after="0" w:line="169" w:lineRule="exact"/>
        <w:rPr>
          <w:sz w:val="20"/>
          <w:szCs w:val="20"/>
          <w:color w:val="auto"/>
        </w:rPr>
      </w:pPr>
    </w:p>
    <w:p>
      <w:pPr>
        <w:ind w:left="360" w:right="399" w:firstLine="332"/>
        <w:spacing w:after="0" w:line="247"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to us from the sale of our securities under this prospectus. Unless otherwise set forth in the applicable prospectus supplement, we intend to use the net proceeds from the sale of securities offered by this prospectus for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will describe the intended use of the net proceeds from any particular offering in the applicable prospectus supplement.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5"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204710" cy="32385"/>
                    </a:xfrm>
                    <a:prstGeom prst="rect">
                      <a:avLst/>
                    </a:prstGeom>
                    <a:noFill/>
                  </pic:spPr>
                </pic:pic>
              </a:graphicData>
            </a:graphic>
          </wp:anchor>
        </w:drawing>
        <w:t>PLAN OF DISTRIBUTION</w:t>
      </w:r>
    </w:p>
    <w:p>
      <w:pPr>
        <w:spacing w:after="0" w:line="169" w:lineRule="exact"/>
        <w:rPr>
          <w:sz w:val="20"/>
          <w:szCs w:val="20"/>
          <w:color w:val="auto"/>
        </w:rPr>
      </w:pPr>
    </w:p>
    <w:p>
      <w:pPr>
        <w:ind w:left="360" w:right="579" w:firstLine="332"/>
        <w:spacing w:after="0" w:line="249" w:lineRule="auto"/>
        <w:rPr>
          <w:sz w:val="20"/>
          <w:szCs w:val="20"/>
          <w:color w:val="auto"/>
        </w:rPr>
      </w:pPr>
      <w:r>
        <w:rPr>
          <w:rFonts w:ascii="Times New Roman" w:cs="Times New Roman" w:eastAsia="Times New Roman" w:hAnsi="Times New Roman"/>
          <w:sz w:val="14"/>
          <w:szCs w:val="14"/>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75" w:lineRule="exact"/>
        <w:rPr>
          <w:sz w:val="20"/>
          <w:szCs w:val="20"/>
          <w:color w:val="auto"/>
        </w:rPr>
      </w:pPr>
    </w:p>
    <w:p>
      <w:pPr>
        <w:ind w:left="1080" w:hanging="321"/>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5" w:lineRule="exact"/>
        <w:rPr>
          <w:sz w:val="20"/>
          <w:szCs w:val="20"/>
          <w:color w:val="auto"/>
        </w:rPr>
      </w:pPr>
    </w:p>
    <w:p>
      <w:pPr>
        <w:ind w:left="360" w:right="619" w:firstLine="332"/>
        <w:spacing w:after="0" w:line="249" w:lineRule="auto"/>
        <w:rPr>
          <w:sz w:val="20"/>
          <w:szCs w:val="20"/>
          <w:color w:val="auto"/>
        </w:rPr>
      </w:pPr>
      <w:r>
        <w:rPr>
          <w:rFonts w:ascii="Times New Roman" w:cs="Times New Roman" w:eastAsia="Times New Roman" w:hAnsi="Times New Roman"/>
          <w:sz w:val="14"/>
          <w:szCs w:val="14"/>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46" w:lineRule="exact"/>
        <w:rPr>
          <w:sz w:val="20"/>
          <w:szCs w:val="20"/>
          <w:color w:val="auto"/>
        </w:rPr>
      </w:pPr>
    </w:p>
    <w:p>
      <w:pPr>
        <w:ind w:left="360" w:right="459" w:firstLine="332"/>
        <w:spacing w:after="0" w:line="246" w:lineRule="auto"/>
        <w:rPr>
          <w:sz w:val="20"/>
          <w:szCs w:val="20"/>
          <w:color w:val="auto"/>
        </w:rPr>
      </w:pPr>
      <w:r>
        <w:rPr>
          <w:rFonts w:ascii="Times New Roman" w:cs="Times New Roman" w:eastAsia="Times New Roman" w:hAnsi="Times New Roman"/>
          <w:sz w:val="14"/>
          <w:szCs w:val="14"/>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50" w:lineRule="exact"/>
        <w:rPr>
          <w:sz w:val="20"/>
          <w:szCs w:val="20"/>
          <w:color w:val="auto"/>
        </w:rPr>
      </w:pPr>
    </w:p>
    <w:p>
      <w:pPr>
        <w:ind w:left="360" w:right="539" w:firstLine="332"/>
        <w:spacing w:after="0" w:line="293" w:lineRule="auto"/>
        <w:rPr>
          <w:sz w:val="20"/>
          <w:szCs w:val="20"/>
          <w:color w:val="auto"/>
        </w:rPr>
      </w:pPr>
      <w:r>
        <w:rPr>
          <w:rFonts w:ascii="Times New Roman" w:cs="Times New Roman" w:eastAsia="Times New Roman" w:hAnsi="Times New Roman"/>
          <w:sz w:val="12"/>
          <w:szCs w:val="12"/>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23" w:lineRule="exact"/>
        <w:rPr>
          <w:sz w:val="20"/>
          <w:szCs w:val="20"/>
          <w:color w:val="auto"/>
        </w:rPr>
      </w:pPr>
    </w:p>
    <w:p>
      <w:pPr>
        <w:ind w:left="360" w:right="379" w:firstLine="332"/>
        <w:spacing w:after="0" w:line="245" w:lineRule="auto"/>
        <w:rPr>
          <w:sz w:val="20"/>
          <w:szCs w:val="20"/>
          <w:color w:val="auto"/>
        </w:rPr>
      </w:pPr>
      <w:r>
        <w:rPr>
          <w:rFonts w:ascii="Times New Roman" w:cs="Times New Roman" w:eastAsia="Times New Roman" w:hAnsi="Times New Roman"/>
          <w:sz w:val="14"/>
          <w:szCs w:val="14"/>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5" w:right="1440" w:bottom="1440" w:gutter="0" w:footer="0" w:header="0"/>
        </w:sectPr>
      </w:pPr>
    </w:p>
    <w:bookmarkStart w:id="13" w:name="page14"/>
    <w:bookmarkEnd w:id="13"/>
    <w:p>
      <w:pPr>
        <w:ind w:left="360" w:right="399" w:firstLine="332"/>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204710" cy="32385"/>
                    </a:xfrm>
                    <a:prstGeom prst="rect">
                      <a:avLst/>
                    </a:prstGeom>
                    <a:noFill/>
                  </pic:spPr>
                </pic:pic>
              </a:graphicData>
            </a:graphic>
          </wp:anchor>
        </w:drawing>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stock, and they may use securities received from us in settlement of those derivatives to close out any related open borrowings of stock.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49" w:lineRule="exact"/>
        <w:rPr>
          <w:sz w:val="20"/>
          <w:szCs w:val="20"/>
          <w:color w:val="auto"/>
        </w:rPr>
      </w:pPr>
    </w:p>
    <w:p>
      <w:pPr>
        <w:ind w:left="360" w:right="399" w:firstLine="332"/>
        <w:spacing w:after="0" w:line="263" w:lineRule="auto"/>
        <w:rPr>
          <w:sz w:val="20"/>
          <w:szCs w:val="20"/>
          <w:color w:val="auto"/>
        </w:rPr>
      </w:pPr>
      <w:r>
        <w:rPr>
          <w:rFonts w:ascii="Times New Roman" w:cs="Times New Roman" w:eastAsia="Times New Roman" w:hAnsi="Times New Roman"/>
          <w:sz w:val="14"/>
          <w:szCs w:val="14"/>
          <w:color w:val="auto"/>
        </w:rPr>
        <w:t>We will file a prospectus supplement to describe the terms of any offering of our securities covered by this prospectus. The prospectus supplement will disclose:</w:t>
      </w:r>
    </w:p>
    <w:p>
      <w:pPr>
        <w:spacing w:after="0" w:line="64" w:lineRule="exact"/>
        <w:rPr>
          <w:sz w:val="20"/>
          <w:szCs w:val="20"/>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including any managing underwriters, as well as any dealers or agents;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from us;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or other options under which underwriters, if any, may purchase additional securities from us;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underwriting discounts, commissions or other items constituting underwriters’ compensation, and any commissions paid to agents;</w:t>
      </w:r>
    </w:p>
    <w:p>
      <w:pPr>
        <w:spacing w:after="0" w:line="116" w:lineRule="exact"/>
        <w:rPr>
          <w:rFonts w:ascii="Times New Roman" w:cs="Times New Roman" w:eastAsia="Times New Roman" w:hAnsi="Times New Roman"/>
          <w:sz w:val="12"/>
          <w:szCs w:val="12"/>
          <w:color w:val="auto"/>
        </w:rPr>
      </w:pPr>
    </w:p>
    <w:p>
      <w:pPr>
        <w:ind w:left="1080" w:right="479" w:hanging="321"/>
        <w:spacing w:after="0" w:line="263"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subscription rights offering, whether we have engaged dealer-managers to facilitate the offering or subscription, including their name or names and compensation;</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facts material to the transaction.</w:t>
      </w:r>
    </w:p>
    <w:p>
      <w:pPr>
        <w:spacing w:after="0" w:line="165" w:lineRule="exact"/>
        <w:rPr>
          <w:sz w:val="20"/>
          <w:szCs w:val="20"/>
          <w:color w:val="auto"/>
        </w:rPr>
      </w:pPr>
    </w:p>
    <w:p>
      <w:pPr>
        <w:ind w:left="360" w:right="479" w:firstLine="332"/>
        <w:spacing w:after="0" w:line="347" w:lineRule="auto"/>
        <w:rPr>
          <w:sz w:val="20"/>
          <w:szCs w:val="20"/>
          <w:color w:val="auto"/>
        </w:rPr>
      </w:pPr>
      <w:r>
        <w:rPr>
          <w:rFonts w:ascii="Times New Roman" w:cs="Times New Roman" w:eastAsia="Times New Roman" w:hAnsi="Times New Roman"/>
          <w:sz w:val="12"/>
          <w:szCs w:val="12"/>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89" w:lineRule="exact"/>
        <w:rPr>
          <w:sz w:val="20"/>
          <w:szCs w:val="20"/>
          <w:color w:val="auto"/>
        </w:rPr>
      </w:pPr>
    </w:p>
    <w:p>
      <w:pPr>
        <w:ind w:left="360" w:right="379" w:firstLine="332"/>
        <w:spacing w:after="0" w:line="299" w:lineRule="auto"/>
        <w:rPr>
          <w:sz w:val="20"/>
          <w:szCs w:val="20"/>
          <w:color w:val="auto"/>
        </w:rPr>
      </w:pPr>
      <w:r>
        <w:rPr>
          <w:rFonts w:ascii="Times New Roman" w:cs="Times New Roman" w:eastAsia="Times New Roman" w:hAnsi="Times New Roman"/>
          <w:sz w:val="12"/>
          <w:szCs w:val="12"/>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more than one business day prior to their scheduled settlement date,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204710" cy="32385"/>
                    </a:xfrm>
                    <a:prstGeom prst="rect">
                      <a:avLst/>
                    </a:prstGeom>
                    <a:noFill/>
                  </pic:spPr>
                </pic:pic>
              </a:graphicData>
            </a:graphic>
          </wp:anchor>
        </w:drawing>
        <w:t>DESCRIPTION OF CAPITAL STOCK</w:t>
      </w:r>
    </w:p>
    <w:p>
      <w:pPr>
        <w:spacing w:after="0" w:line="169" w:lineRule="exact"/>
        <w:rPr>
          <w:sz w:val="20"/>
          <w:szCs w:val="20"/>
          <w:color w:val="auto"/>
        </w:rPr>
      </w:pPr>
    </w:p>
    <w:p>
      <w:pPr>
        <w:ind w:left="360" w:right="379" w:firstLine="332"/>
        <w:spacing w:after="0" w:line="296" w:lineRule="auto"/>
        <w:rPr>
          <w:sz w:val="20"/>
          <w:szCs w:val="20"/>
          <w:color w:val="auto"/>
        </w:rPr>
      </w:pPr>
      <w:r>
        <w:rPr>
          <w:rFonts w:ascii="Times New Roman" w:cs="Times New Roman" w:eastAsia="Times New Roman" w:hAnsi="Times New Roman"/>
          <w:sz w:val="12"/>
          <w:szCs w:val="12"/>
          <w:color w:val="auto"/>
        </w:rPr>
        <w:t>The following is a brief description of the common stock, par value $0.01 per share and preferred stock that we may offer under this prospectus, but it is not complete and is subject to, and qualified in its entirety by reference to, the relevant provisions of the laws of the Commonwealth of Pennsylvania, including the Pennsylvania Business Corporation Law (“PBCL”), the Company’s Articles of Incorporation (“Articles of Incorporation”) and its Bylaws (the “Bylaws”). 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87" w:lineRule="exact"/>
        <w:rPr>
          <w:sz w:val="20"/>
          <w:szCs w:val="20"/>
          <w:color w:val="auto"/>
        </w:rPr>
      </w:pPr>
    </w:p>
    <w:p>
      <w:pPr>
        <w:ind w:left="360" w:right="379" w:firstLine="332"/>
        <w:spacing w:after="0" w:line="263" w:lineRule="auto"/>
        <w:rPr>
          <w:sz w:val="20"/>
          <w:szCs w:val="20"/>
          <w:color w:val="auto"/>
        </w:rPr>
      </w:pPr>
      <w:r>
        <w:rPr>
          <w:rFonts w:ascii="Times New Roman" w:cs="Times New Roman" w:eastAsia="Times New Roman" w:hAnsi="Times New Roman"/>
          <w:sz w:val="14"/>
          <w:szCs w:val="14"/>
          <w:color w:val="auto"/>
        </w:rPr>
        <w:t>Our authorized capital shares consist of 20,000,000 shares of common stock and 5,000,000 shares of preferred stock. As of October 28, 2026 there were 10,520,291 shares of common stock issued and outstanding and no shares of preferred stock issued and outstanding.</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87" w:lineRule="exact"/>
        <w:rPr>
          <w:sz w:val="20"/>
          <w:szCs w:val="20"/>
          <w:color w:val="auto"/>
        </w:rPr>
      </w:pPr>
    </w:p>
    <w:p>
      <w:pPr>
        <w:ind w:left="360" w:right="379" w:firstLine="332"/>
        <w:spacing w:after="0" w:line="296" w:lineRule="auto"/>
        <w:rPr>
          <w:sz w:val="20"/>
          <w:szCs w:val="20"/>
          <w:color w:val="auto"/>
        </w:rPr>
      </w:pPr>
      <w:r>
        <w:rPr>
          <w:rFonts w:ascii="Times New Roman" w:cs="Times New Roman" w:eastAsia="Times New Roman" w:hAnsi="Times New Roman"/>
          <w:sz w:val="12"/>
          <w:szCs w:val="12"/>
          <w:color w:val="auto"/>
        </w:rPr>
        <w:t>Holders of common stock are entitled to one vote per share on all matters voted on by shareholders, including the election of directors. Our common stock does not have cumulative voting rights and the Board of Directors of our Company (the “Board of Directors”) is not classified. Except as otherwise provided in the PBCL, Articles of Incorporation or Bylaws, actions by shareholders shall be effective upon the affirmative vote of a majority of the votes cast by all shareholders entitled to vote thereon and, if any shareholders are entitled to vote thereon as a class, upon receiving the affirmative vote of a majority of the votes cast by the shareholders entitled to vote as a class. The Bylaws provide that, in the case of director elections, candidates receiving the highest number of votes from each class or group of classes shall be elected (i.e., plurality vote standard).</w:t>
      </w:r>
    </w:p>
    <w:p>
      <w:pPr>
        <w:spacing w:after="0" w:line="119" w:lineRule="exact"/>
        <w:rPr>
          <w:sz w:val="20"/>
          <w:szCs w:val="20"/>
          <w:color w:val="auto"/>
        </w:rPr>
      </w:pPr>
    </w:p>
    <w:p>
      <w:pPr>
        <w:ind w:left="360" w:right="559" w:firstLine="332"/>
        <w:spacing w:after="0" w:line="253" w:lineRule="auto"/>
        <w:rPr>
          <w:sz w:val="20"/>
          <w:szCs w:val="20"/>
          <w:color w:val="auto"/>
        </w:rPr>
      </w:pPr>
      <w:r>
        <w:rPr>
          <w:rFonts w:ascii="Times New Roman" w:cs="Times New Roman" w:eastAsia="Times New Roman" w:hAnsi="Times New Roman"/>
          <w:sz w:val="14"/>
          <w:szCs w:val="14"/>
          <w:color w:val="auto"/>
        </w:rPr>
        <w:t>Notwithstanding the foregoing, the affirmative vote of no less than two-thirds of the votes that all shareholders are entitled to cast is required to amend certain provisions of the Bylaws regarding (i) advance notice of nominations and proposals (Section 2.05) and (ii) amendment of Bylaws (Section 7.02).</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87" w:lineRule="exact"/>
        <w:rPr>
          <w:sz w:val="20"/>
          <w:szCs w:val="20"/>
          <w:color w:val="auto"/>
        </w:rPr>
      </w:pPr>
    </w:p>
    <w:p>
      <w:pPr>
        <w:ind w:left="360" w:right="379" w:firstLine="332"/>
        <w:spacing w:after="0" w:line="347" w:lineRule="auto"/>
        <w:rPr>
          <w:sz w:val="20"/>
          <w:szCs w:val="20"/>
          <w:color w:val="auto"/>
        </w:rPr>
      </w:pPr>
      <w:r>
        <w:rPr>
          <w:rFonts w:ascii="Times New Roman" w:cs="Times New Roman" w:eastAsia="Times New Roman" w:hAnsi="Times New Roman"/>
          <w:sz w:val="12"/>
          <w:szCs w:val="12"/>
          <w:color w:val="auto"/>
        </w:rPr>
        <w:t>Subject to the rights of any preferred stock then outstanding, holders of common stock are entitled to receive dividends for each outstanding share, if any, as may be declared from time to time by the Board of Directors in its discretion out of funds legally available for the payment of dividends.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87" w:lineRule="exact"/>
        <w:rPr>
          <w:sz w:val="20"/>
          <w:szCs w:val="20"/>
          <w:color w:val="auto"/>
        </w:rPr>
      </w:pPr>
    </w:p>
    <w:p>
      <w:pPr>
        <w:jc w:val="both"/>
        <w:ind w:left="360" w:right="459" w:firstLine="332"/>
        <w:spacing w:after="0" w:line="253" w:lineRule="auto"/>
        <w:rPr>
          <w:sz w:val="20"/>
          <w:szCs w:val="20"/>
          <w:color w:val="auto"/>
        </w:rPr>
      </w:pPr>
      <w:r>
        <w:rPr>
          <w:rFonts w:ascii="Times New Roman" w:cs="Times New Roman" w:eastAsia="Times New Roman" w:hAnsi="Times New Roman"/>
          <w:sz w:val="14"/>
          <w:szCs w:val="14"/>
          <w:color w:val="auto"/>
        </w:rPr>
        <w:t>In the event of the Company’s liquidation, dissolution, or winding up, either voluntarily or involuntarily, holders of common stock are entitled to receive, subject to any liquidation preference of any preferred stock then outstanding, the remaining assets of the Company available for distribution, if any, in proportion to the number of shares held.</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 Rights and Preferences</w:t>
      </w:r>
    </w:p>
    <w:p>
      <w:pPr>
        <w:spacing w:after="0" w:line="87" w:lineRule="exact"/>
        <w:rPr>
          <w:sz w:val="20"/>
          <w:szCs w:val="20"/>
          <w:color w:val="auto"/>
        </w:rPr>
      </w:pPr>
    </w:p>
    <w:p>
      <w:pPr>
        <w:ind w:left="360" w:right="439" w:firstLine="332"/>
        <w:spacing w:after="0" w:line="263" w:lineRule="auto"/>
        <w:rPr>
          <w:sz w:val="20"/>
          <w:szCs w:val="20"/>
          <w:color w:val="auto"/>
        </w:rPr>
      </w:pPr>
      <w:r>
        <w:rPr>
          <w:rFonts w:ascii="Times New Roman" w:cs="Times New Roman" w:eastAsia="Times New Roman" w:hAnsi="Times New Roman"/>
          <w:sz w:val="14"/>
          <w:szCs w:val="14"/>
          <w:color w:val="auto"/>
        </w:rPr>
        <w:t>The holders of common stock do not have any preemptive, redemption, sinking fund, or conversion rights and the common stock is not subject to any restriction on alienability, except as required by law.</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5" w:right="1440" w:bottom="1440" w:gutter="0" w:footer="0" w:header="0"/>
        </w:sectPr>
      </w:pPr>
    </w:p>
    <w:bookmarkStart w:id="15" w:name="page16"/>
    <w:bookmarkEnd w:id="15"/>
    <w:p>
      <w:pPr>
        <w:ind w:left="6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204710" cy="32385"/>
                    </a:xfrm>
                    <a:prstGeom prst="rect">
                      <a:avLst/>
                    </a:prstGeom>
                    <a:noFill/>
                  </pic:spPr>
                </pic:pic>
              </a:graphicData>
            </a:graphic>
          </wp:anchor>
        </w:drawing>
        <w:t>Description of Preferred Stock</w:t>
      </w:r>
    </w:p>
    <w:p>
      <w:pPr>
        <w:spacing w:after="0" w:line="87" w:lineRule="exact"/>
        <w:rPr>
          <w:sz w:val="20"/>
          <w:szCs w:val="20"/>
          <w:color w:val="auto"/>
        </w:rPr>
      </w:pPr>
    </w:p>
    <w:p>
      <w:pPr>
        <w:ind w:left="360" w:right="439" w:firstLine="332"/>
        <w:spacing w:after="0" w:line="315" w:lineRule="auto"/>
        <w:rPr>
          <w:sz w:val="20"/>
          <w:szCs w:val="20"/>
          <w:color w:val="auto"/>
        </w:rPr>
      </w:pPr>
      <w:r>
        <w:rPr>
          <w:rFonts w:ascii="Times New Roman" w:cs="Times New Roman" w:eastAsia="Times New Roman" w:hAnsi="Times New Roman"/>
          <w:sz w:val="12"/>
          <w:szCs w:val="12"/>
          <w:color w:val="auto"/>
        </w:rPr>
        <w:t>The Board of Directors may issue preferred stock from time to time. Subject to the limits imposed by the PBCL, our Board of Directors is authorized to divide the authorized and unissued shares of preferred stock into classes or series, or both, and to determine for any such class or series its designation and the number of shares of the class or series and the voting rights, preferences, limitations and special rights, if any, of the class or series.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Certain Anti-Takeover Provisions</w:t>
      </w:r>
    </w:p>
    <w:p>
      <w:pPr>
        <w:spacing w:after="0" w:line="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Governance Document Provisions</w:t>
      </w:r>
    </w:p>
    <w:p>
      <w:pPr>
        <w:spacing w:after="0" w:line="87" w:lineRule="exact"/>
        <w:rPr>
          <w:sz w:val="20"/>
          <w:szCs w:val="20"/>
          <w:color w:val="auto"/>
        </w:rPr>
      </w:pPr>
    </w:p>
    <w:p>
      <w:pPr>
        <w:jc w:val="both"/>
        <w:ind w:left="360" w:right="539" w:firstLine="332"/>
        <w:spacing w:after="0" w:line="253" w:lineRule="auto"/>
        <w:rPr>
          <w:sz w:val="20"/>
          <w:szCs w:val="20"/>
          <w:color w:val="auto"/>
        </w:rPr>
      </w:pPr>
      <w:r>
        <w:rPr>
          <w:rFonts w:ascii="Times New Roman" w:cs="Times New Roman" w:eastAsia="Times New Roman" w:hAnsi="Times New Roman"/>
          <w:sz w:val="14"/>
          <w:szCs w:val="14"/>
          <w:color w:val="auto"/>
        </w:rPr>
        <w:t>The Articles of Incorporation and Bylaws include certain provisions which may be considered to be “anti-takeover” in nature because they may have the effect of discouraging or making more difficult the acquisition of control by means of a hostile tender offer, exchange offer, proxy contest or similar transaction.</w:t>
      </w:r>
    </w:p>
    <w:p>
      <w:pPr>
        <w:spacing w:after="0" w:line="142" w:lineRule="exact"/>
        <w:rPr>
          <w:sz w:val="20"/>
          <w:szCs w:val="20"/>
          <w:color w:val="auto"/>
        </w:rPr>
      </w:pPr>
    </w:p>
    <w:p>
      <w:pPr>
        <w:ind w:left="360" w:right="479" w:firstLine="332"/>
        <w:spacing w:after="0" w:line="263" w:lineRule="auto"/>
        <w:rPr>
          <w:sz w:val="20"/>
          <w:szCs w:val="20"/>
          <w:color w:val="auto"/>
        </w:rPr>
      </w:pPr>
      <w:r>
        <w:rPr>
          <w:rFonts w:ascii="Times New Roman" w:cs="Times New Roman" w:eastAsia="Times New Roman" w:hAnsi="Times New Roman"/>
          <w:sz w:val="14"/>
          <w:szCs w:val="14"/>
          <w:color w:val="auto"/>
        </w:rPr>
        <w:t>The provisions in the Articles of Incorporation and Bylaws (or lack thereof) which may be considered to be “anti-takeover” in nature include the following:</w:t>
      </w:r>
    </w:p>
    <w:p>
      <w:pPr>
        <w:spacing w:after="0" w:line="64" w:lineRule="exact"/>
        <w:rPr>
          <w:sz w:val="20"/>
          <w:szCs w:val="20"/>
          <w:color w:val="auto"/>
        </w:rPr>
      </w:pPr>
    </w:p>
    <w:p>
      <w:pPr>
        <w:ind w:left="1080" w:right="419" w:hanging="321"/>
        <w:spacing w:after="0" w:line="263"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authorized but unissued capital stock, including the ability to issue a class or series, or both, of preferred stock whose rights and privileges may be determined by the Board of Directors;</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does not permit shareholders to cumulate their votes for the election of directors;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limits the permissible number of directors;</w:t>
      </w:r>
    </w:p>
    <w:p>
      <w:pPr>
        <w:spacing w:after="0" w:line="93" w:lineRule="exact"/>
        <w:rPr>
          <w:rFonts w:ascii="Times New Roman" w:cs="Times New Roman" w:eastAsia="Times New Roman" w:hAnsi="Times New Roman"/>
          <w:sz w:val="14"/>
          <w:szCs w:val="14"/>
          <w:color w:val="auto"/>
        </w:rPr>
      </w:pPr>
    </w:p>
    <w:p>
      <w:pPr>
        <w:ind w:left="1080" w:right="619" w:hanging="321"/>
        <w:spacing w:after="0" w:line="263" w:lineRule="auto"/>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requires, in certain circumstances, a greater than majority shareholder vote in order to amend the Bylaws and advance notice provisions set forth therein;</w:t>
      </w:r>
    </w:p>
    <w:p>
      <w:pPr>
        <w:spacing w:after="0" w:line="64" w:lineRule="exact"/>
        <w:rPr>
          <w:rFonts w:ascii="Times New Roman" w:cs="Times New Roman" w:eastAsia="Times New Roman" w:hAnsi="Times New Roman"/>
          <w:sz w:val="14"/>
          <w:szCs w:val="14"/>
          <w:color w:val="auto"/>
        </w:rPr>
      </w:pPr>
    </w:p>
    <w:p>
      <w:pPr>
        <w:ind w:left="1080" w:right="379" w:hanging="321"/>
        <w:spacing w:after="0" w:line="347" w:lineRule="auto"/>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provision requiring that advance notice be delivered to the Company of any business to be brought by an eligible shareholder before a meeting of shareholders and requiring certain procedures to be followed by shareholders in nominating candidates for election as directors;</w:t>
      </w:r>
    </w:p>
    <w:p>
      <w:pPr>
        <w:spacing w:after="0" w:line="18" w:lineRule="exact"/>
        <w:rPr>
          <w:rFonts w:ascii="Times New Roman" w:cs="Times New Roman" w:eastAsia="Times New Roman" w:hAnsi="Times New Roman"/>
          <w:sz w:val="12"/>
          <w:szCs w:val="12"/>
          <w:color w:val="auto"/>
        </w:rPr>
      </w:pPr>
    </w:p>
    <w:p>
      <w:pPr>
        <w:ind w:left="1080" w:hanging="321"/>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for shareholders to call special meetings of shareholders;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for shareholders to act by partial written consent.</w:t>
      </w:r>
    </w:p>
    <w:p>
      <w:pPr>
        <w:spacing w:after="0" w:line="2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Pennsylvania Business Corporation Law Provisions</w:t>
      </w:r>
    </w:p>
    <w:p>
      <w:pPr>
        <w:spacing w:after="0" w:line="87" w:lineRule="exact"/>
        <w:rPr>
          <w:sz w:val="20"/>
          <w:szCs w:val="20"/>
          <w:color w:val="auto"/>
        </w:rPr>
      </w:pPr>
    </w:p>
    <w:p>
      <w:pPr>
        <w:ind w:left="360" w:right="399" w:firstLine="332"/>
        <w:spacing w:after="0" w:line="249" w:lineRule="auto"/>
        <w:rPr>
          <w:sz w:val="20"/>
          <w:szCs w:val="20"/>
          <w:color w:val="auto"/>
        </w:rPr>
      </w:pPr>
      <w:r>
        <w:rPr>
          <w:rFonts w:ascii="Times New Roman" w:cs="Times New Roman" w:eastAsia="Times New Roman" w:hAnsi="Times New Roman"/>
          <w:sz w:val="14"/>
          <w:szCs w:val="14"/>
          <w:color w:val="auto"/>
        </w:rPr>
        <w:t>The PBCL contains a number of statutory “anti-takeover” provisions, including Subchapters E, F, G and H of Chapter 25 and Sections 2521, 2524 and 2538 of the PBCL, which apply automatically to Pennsylvania registered corporations unless the corporation elects to opt-out of those provisions. The Company is a Pennsylvania registered corporation, and has elected to opt-out of certain provisions as described below. Descriptions of the anti-takeover provisions that the Company opted out of are qualified in their entirety by reference to the PBCL:</w:t>
      </w:r>
    </w:p>
    <w:p>
      <w:pPr>
        <w:spacing w:after="0" w:line="75" w:lineRule="exact"/>
        <w:rPr>
          <w:sz w:val="20"/>
          <w:szCs w:val="20"/>
          <w:color w:val="auto"/>
        </w:rPr>
      </w:pPr>
    </w:p>
    <w:p>
      <w:pPr>
        <w:ind w:left="1080" w:right="399" w:hanging="321"/>
        <w:spacing w:after="0" w:line="246"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1715 (relating to exercise of powers generally) provides that the board of directors, when considering the best interests of the corporation generally, may consider the effects of an action upon any or all groups affected by the action, the short- and long-term interests of the corporation, and the resources, intent, and conduct of any person seeking to acquire control of the corporation. In considering the best interests of the corporation and the effect of an action, the board of directors shall not be required to regard the corporate interest or interest of any particular group as the dominant or controlling interest, and the act of the board of directors, absent any breach of fiduciary duty, shall be presumed to be in the best interest of the corporation.</w:t>
      </w:r>
    </w:p>
    <w:p>
      <w:pPr>
        <w:spacing w:after="0" w:line="78" w:lineRule="exact"/>
        <w:rPr>
          <w:rFonts w:ascii="Times New Roman" w:cs="Times New Roman" w:eastAsia="Times New Roman" w:hAnsi="Times New Roman"/>
          <w:sz w:val="14"/>
          <w:szCs w:val="14"/>
          <w:color w:val="auto"/>
        </w:rPr>
      </w:pPr>
    </w:p>
    <w:p>
      <w:pPr>
        <w:ind w:left="1080" w:right="719" w:hanging="321"/>
        <w:spacing w:after="0" w:line="263" w:lineRule="auto"/>
        <w:tabs>
          <w:tab w:leader="none" w:pos="1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2538 of the PBCL generally establishes certain shareholder approval requirements with respect to specified transactions with “interested shareholders.”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5" w:right="1440" w:bottom="1440" w:gutter="0" w:footer="0" w:header="0"/>
        </w:sectPr>
      </w:pPr>
    </w:p>
    <w:bookmarkStart w:id="16" w:name="page17"/>
    <w:bookmarkEnd w:id="16"/>
    <w:p>
      <w:pPr>
        <w:ind w:left="1080" w:right="679" w:hanging="321"/>
        <w:spacing w:after="0" w:line="253"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204710" cy="32385"/>
                    </a:xfrm>
                    <a:prstGeom prst="rect">
                      <a:avLst/>
                    </a:prstGeom>
                    <a:noFill/>
                  </pic:spPr>
                </pic:pic>
              </a:graphicData>
            </a:graphic>
          </wp:anchor>
        </w:drawing>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spacing w:after="0" w:line="70" w:lineRule="exact"/>
        <w:rPr>
          <w:rFonts w:ascii="Times New Roman" w:cs="Times New Roman" w:eastAsia="Times New Roman" w:hAnsi="Times New Roman"/>
          <w:sz w:val="14"/>
          <w:szCs w:val="14"/>
          <w:color w:val="auto"/>
        </w:rPr>
      </w:pPr>
    </w:p>
    <w:p>
      <w:pPr>
        <w:ind w:left="1080" w:right="479" w:hanging="321"/>
        <w:spacing w:after="0" w:line="246"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Subchapter F (relating to business combinations) imposes conditions upon “business combinations,” including a five-year moratorium on certain “business combinations” unless certain conditions are met,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spacing w:after="0" w:line="78" w:lineRule="exact"/>
        <w:rPr>
          <w:rFonts w:ascii="Times New Roman" w:cs="Times New Roman" w:eastAsia="Times New Roman" w:hAnsi="Times New Roman"/>
          <w:sz w:val="14"/>
          <w:szCs w:val="14"/>
          <w:color w:val="auto"/>
        </w:rPr>
      </w:pPr>
    </w:p>
    <w:p>
      <w:pPr>
        <w:ind w:left="1080" w:right="779" w:hanging="321"/>
        <w:spacing w:after="0" w:line="263"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Subchapter G (relating to control share acquisitions) generally requires a shareholder vote to reinstate voting rights to control shares acquired by a 20% shareholder in a control-share acquisition.</w:t>
      </w:r>
    </w:p>
    <w:p>
      <w:pPr>
        <w:spacing w:after="0" w:line="64" w:lineRule="exact"/>
        <w:rPr>
          <w:rFonts w:ascii="Times New Roman" w:cs="Times New Roman" w:eastAsia="Times New Roman" w:hAnsi="Times New Roman"/>
          <w:sz w:val="14"/>
          <w:szCs w:val="14"/>
          <w:color w:val="auto"/>
        </w:rPr>
      </w:pPr>
    </w:p>
    <w:p>
      <w:pPr>
        <w:jc w:val="both"/>
        <w:ind w:left="1080" w:right="659" w:hanging="321"/>
        <w:spacing w:after="0" w:line="253" w:lineRule="auto"/>
        <w:tabs>
          <w:tab w:leader="none" w:pos="1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Subchapter H (relating to disgorgement of profits) generally requires a person or group that owns 20% or more of a company’s equity securities, or that publicly announces an intention to acquire control of a company, to disgorge within 24 months prior to, or within 18 months after, acquiring control status any profits received from a sale of the company’s shares.</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7" w:lineRule="exact"/>
        <w:rPr>
          <w:sz w:val="20"/>
          <w:szCs w:val="20"/>
          <w:color w:val="auto"/>
        </w:rPr>
      </w:pPr>
    </w:p>
    <w:p>
      <w:pPr>
        <w:ind w:left="360" w:right="419" w:firstLine="332"/>
        <w:spacing w:after="0" w:line="263" w:lineRule="auto"/>
        <w:rPr>
          <w:sz w:val="20"/>
          <w:szCs w:val="20"/>
          <w:color w:val="auto"/>
        </w:rPr>
      </w:pPr>
      <w:r>
        <w:rPr>
          <w:rFonts w:ascii="Times New Roman" w:cs="Times New Roman" w:eastAsia="Times New Roman" w:hAnsi="Times New Roman"/>
          <w:sz w:val="14"/>
          <w:szCs w:val="14"/>
          <w:color w:val="auto"/>
        </w:rPr>
        <w:t>The transfer agent and registrar for our common stock is Broadridge Corporate Issuer Solutions, Inc. The transfer agent for any series of preferred stock that we may offer under this prospectus will be named and described in the prospectus supplement for that series.</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Listing on the Nasdaq Global Select Market</w:t>
      </w:r>
    </w:p>
    <w:p>
      <w:pPr>
        <w:spacing w:after="0" w:line="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“FSTR.”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04710" cy="32385"/>
                    </a:xfrm>
                    <a:prstGeom prst="rect">
                      <a:avLst/>
                    </a:prstGeom>
                    <a:noFill/>
                  </pic:spPr>
                </pic:pic>
              </a:graphicData>
            </a:graphic>
          </wp:anchor>
        </w:drawing>
        <w:t>DESCRIPTION OF DEBT SECURITIES</w:t>
      </w:r>
    </w:p>
    <w:p>
      <w:pPr>
        <w:spacing w:after="0" w:line="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69" w:lineRule="exact"/>
        <w:rPr>
          <w:sz w:val="20"/>
          <w:szCs w:val="20"/>
          <w:color w:val="auto"/>
        </w:rPr>
      </w:pPr>
    </w:p>
    <w:p>
      <w:pPr>
        <w:ind w:left="360" w:right="479" w:firstLine="332"/>
        <w:spacing w:after="0" w:line="247" w:lineRule="auto"/>
        <w:rPr>
          <w:sz w:val="20"/>
          <w:szCs w:val="20"/>
          <w:color w:val="auto"/>
        </w:rPr>
      </w:pPr>
      <w:r>
        <w:rPr>
          <w:rFonts w:ascii="Times New Roman" w:cs="Times New Roman" w:eastAsia="Times New Roman" w:hAnsi="Times New Roman"/>
          <w:sz w:val="14"/>
          <w:szCs w:val="14"/>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48" w:lineRule="exact"/>
        <w:rPr>
          <w:sz w:val="20"/>
          <w:szCs w:val="20"/>
          <w:color w:val="auto"/>
        </w:rPr>
      </w:pPr>
    </w:p>
    <w:p>
      <w:pPr>
        <w:ind w:left="360" w:right="399" w:firstLine="332"/>
        <w:spacing w:after="0" w:line="247" w:lineRule="auto"/>
        <w:rPr>
          <w:sz w:val="20"/>
          <w:szCs w:val="20"/>
          <w:color w:val="auto"/>
        </w:rPr>
      </w:pPr>
      <w:r>
        <w:rPr>
          <w:rFonts w:ascii="Times New Roman" w:cs="Times New Roman" w:eastAsia="Times New Roman" w:hAnsi="Times New Roman"/>
          <w:sz w:val="14"/>
          <w:szCs w:val="14"/>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Unless otherwise specified in the applicable prospectus supplement, the debt securities will represent our direct, unsecured obligations and will rank equally with all of our other unsecured indebtedness. The prospectus supplement relating to the particular series of debt securities being offered will specify the particular amounts, prices and terms of those debt securities. These terms may include:</w:t>
      </w:r>
    </w:p>
    <w:p>
      <w:pPr>
        <w:spacing w:after="0" w:line="77" w:lineRule="exact"/>
        <w:rPr>
          <w:sz w:val="20"/>
          <w:szCs w:val="20"/>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and, if a series, the total amount authorized and the total amount outstanding;</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price or prices, expressed as a percentage of the aggregate principal amount of the debt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is payable;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if applicable, the method used to determine such rate or rates;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will be payable and any regular record date for the interest payable;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and, if applicable, premium and interest, is payable;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we may, or the holders may require us to, redeem or repurchase the debt securities;</w:t>
      </w:r>
    </w:p>
    <w:p>
      <w:pPr>
        <w:spacing w:after="0" w:line="93" w:lineRule="exact"/>
        <w:rPr>
          <w:rFonts w:ascii="Times New Roman" w:cs="Times New Roman" w:eastAsia="Times New Roman" w:hAnsi="Times New Roman"/>
          <w:sz w:val="14"/>
          <w:szCs w:val="14"/>
          <w:color w:val="auto"/>
        </w:rPr>
      </w:pPr>
    </w:p>
    <w:p>
      <w:pPr>
        <w:ind w:left="1080" w:right="619" w:hanging="321"/>
        <w:spacing w:after="0" w:line="263"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such debt securities may be issuable, if other than denominations of $1,000 or any integral multiple of that number;</w:t>
      </w:r>
    </w:p>
    <w:p>
      <w:pPr>
        <w:spacing w:after="0" w:line="64" w:lineRule="exact"/>
        <w:rPr>
          <w:rFonts w:ascii="Times New Roman" w:cs="Times New Roman" w:eastAsia="Times New Roman" w:hAnsi="Times New Roman"/>
          <w:sz w:val="14"/>
          <w:szCs w:val="14"/>
          <w:color w:val="auto"/>
        </w:rPr>
      </w:pPr>
    </w:p>
    <w:p>
      <w:pPr>
        <w:ind w:left="1080" w:right="579" w:hanging="321"/>
        <w:spacing w:after="0" w:line="263"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to be issuable in the form of certificated securities (as described below) or global securities (as described below);</w:t>
      </w:r>
    </w:p>
    <w:p>
      <w:pPr>
        <w:spacing w:after="0" w:line="64" w:lineRule="exact"/>
        <w:rPr>
          <w:rFonts w:ascii="Times New Roman" w:cs="Times New Roman" w:eastAsia="Times New Roman" w:hAnsi="Times New Roman"/>
          <w:sz w:val="14"/>
          <w:szCs w:val="14"/>
          <w:color w:val="auto"/>
        </w:rPr>
      </w:pPr>
    </w:p>
    <w:p>
      <w:pPr>
        <w:ind w:left="1080" w:right="419" w:hanging="321"/>
        <w:spacing w:after="0" w:line="263"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that will be payable upon declaration of acceleration of the maturity date if other than the principal amount of the debt securities;</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w:t>
      </w:r>
    </w:p>
    <w:p>
      <w:pPr>
        <w:spacing w:after="0" w:line="93" w:lineRule="exact"/>
        <w:rPr>
          <w:rFonts w:ascii="Times New Roman" w:cs="Times New Roman" w:eastAsia="Times New Roman" w:hAnsi="Times New Roman"/>
          <w:sz w:val="14"/>
          <w:szCs w:val="14"/>
          <w:color w:val="auto"/>
        </w:rPr>
      </w:pPr>
    </w:p>
    <w:p>
      <w:pPr>
        <w:ind w:left="1080" w:right="379" w:hanging="321"/>
        <w:spacing w:after="0" w:line="263"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and, if applicable, premium and interest, will be made;</w:t>
      </w:r>
    </w:p>
    <w:p>
      <w:pPr>
        <w:spacing w:after="0" w:line="64" w:lineRule="exact"/>
        <w:rPr>
          <w:rFonts w:ascii="Times New Roman" w:cs="Times New Roman" w:eastAsia="Times New Roman" w:hAnsi="Times New Roman"/>
          <w:sz w:val="14"/>
          <w:szCs w:val="14"/>
          <w:color w:val="auto"/>
        </w:rPr>
      </w:pPr>
    </w:p>
    <w:p>
      <w:pPr>
        <w:ind w:left="1080" w:right="399" w:hanging="321"/>
        <w:spacing w:after="0" w:line="347" w:lineRule="auto"/>
        <w:tabs>
          <w:tab w:leader="none" w:pos="1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8" w:lineRule="exact"/>
        <w:rPr>
          <w:rFonts w:ascii="Times New Roman" w:cs="Times New Roman" w:eastAsia="Times New Roman" w:hAnsi="Times New Roman"/>
          <w:sz w:val="12"/>
          <w:szCs w:val="12"/>
          <w:color w:val="auto"/>
        </w:rPr>
      </w:pPr>
    </w:p>
    <w:p>
      <w:pPr>
        <w:ind w:left="1080" w:right="679" w:hanging="321"/>
        <w:spacing w:after="0" w:line="253" w:lineRule="auto"/>
        <w:tabs>
          <w:tab w:leader="none" w:pos="1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5" w:right="1440" w:bottom="1440" w:gutter="0" w:footer="0" w:header="0"/>
        </w:sectPr>
      </w:pPr>
    </w:p>
    <w:bookmarkStart w:id="18" w:name="page19"/>
    <w:bookmarkEnd w:id="18"/>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204710" cy="32385"/>
                    </a:xfrm>
                    <a:prstGeom prst="rect">
                      <a:avLst/>
                    </a:prstGeom>
                    <a:noFill/>
                  </pic:spPr>
                </pic:pic>
              </a:graphicData>
            </a:graphic>
          </wp:anchor>
        </w:drawing>
        <w:t>the provisions, if any, relating to any collateral provided for such debt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and/or the acceleration provisions described in this prospectus or in the indenture;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if not otherwise described below under “Events of Default”;</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for conversion into or exchange for shares of our common stock, preferred stock or other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the debt securities shall be subordinated in right of payment to our other indebtedness.</w:t>
      </w:r>
    </w:p>
    <w:p>
      <w:pPr>
        <w:spacing w:after="0" w:line="165" w:lineRule="exact"/>
        <w:rPr>
          <w:sz w:val="20"/>
          <w:szCs w:val="20"/>
          <w:color w:val="auto"/>
        </w:rPr>
      </w:pPr>
    </w:p>
    <w:p>
      <w:pPr>
        <w:ind w:left="360" w:right="379" w:firstLine="332"/>
        <w:spacing w:after="0" w:line="249" w:lineRule="auto"/>
        <w:rPr>
          <w:sz w:val="20"/>
          <w:szCs w:val="20"/>
          <w:color w:val="auto"/>
        </w:rPr>
      </w:pPr>
      <w:r>
        <w:rPr>
          <w:rFonts w:ascii="Times New Roman" w:cs="Times New Roman" w:eastAsia="Times New Roman" w:hAnsi="Times New Roman"/>
          <w:sz w:val="14"/>
          <w:szCs w:val="14"/>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46" w:lineRule="exact"/>
        <w:rPr>
          <w:sz w:val="20"/>
          <w:szCs w:val="20"/>
          <w:color w:val="auto"/>
        </w:rPr>
      </w:pPr>
    </w:p>
    <w:p>
      <w:pPr>
        <w:ind w:left="360" w:right="539" w:firstLine="332"/>
        <w:spacing w:after="0" w:line="253" w:lineRule="auto"/>
        <w:rPr>
          <w:sz w:val="20"/>
          <w:szCs w:val="20"/>
          <w:color w:val="auto"/>
        </w:rPr>
      </w:pPr>
      <w:r>
        <w:rPr>
          <w:rFonts w:ascii="Times New Roman" w:cs="Times New Roman" w:eastAsia="Times New Roman" w:hAnsi="Times New Roman"/>
          <w:sz w:val="14"/>
          <w:szCs w:val="14"/>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Registrar and Paying Agent</w:t>
      </w:r>
    </w:p>
    <w:p>
      <w:pPr>
        <w:spacing w:after="0" w:line="87" w:lineRule="exact"/>
        <w:rPr>
          <w:sz w:val="20"/>
          <w:szCs w:val="20"/>
          <w:color w:val="auto"/>
        </w:rPr>
      </w:pPr>
    </w:p>
    <w:p>
      <w:pPr>
        <w:ind w:left="360" w:right="379" w:firstLine="332"/>
        <w:spacing w:after="0" w:line="253" w:lineRule="auto"/>
        <w:rPr>
          <w:sz w:val="20"/>
          <w:szCs w:val="20"/>
          <w:color w:val="auto"/>
        </w:rPr>
      </w:pPr>
      <w:r>
        <w:rPr>
          <w:rFonts w:ascii="Times New Roman" w:cs="Times New Roman" w:eastAsia="Times New Roman" w:hAnsi="Times New Roman"/>
          <w:sz w:val="14"/>
          <w:szCs w:val="14"/>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7" w:lineRule="exact"/>
        <w:rPr>
          <w:sz w:val="20"/>
          <w:szCs w:val="20"/>
          <w:color w:val="auto"/>
        </w:rPr>
      </w:pPr>
    </w:p>
    <w:p>
      <w:pPr>
        <w:ind w:left="360" w:right="679" w:firstLine="332"/>
        <w:spacing w:after="0" w:line="347" w:lineRule="auto"/>
        <w:rPr>
          <w:sz w:val="20"/>
          <w:szCs w:val="20"/>
          <w:color w:val="auto"/>
        </w:rPr>
      </w:pPr>
      <w:r>
        <w:rPr>
          <w:rFonts w:ascii="Times New Roman" w:cs="Times New Roman" w:eastAsia="Times New Roman" w:hAnsi="Times New Roman"/>
          <w:sz w:val="12"/>
          <w:szCs w:val="12"/>
          <w:color w:val="auto"/>
        </w:rPr>
        <w:t>Debt securities may be convertible into or exchangeable for shares of our common stock or preferred stock or other securities. The terms and conditions of conversion or exchange will be stated in the applicable prospectus supplement. The terms will include, among others, the following:</w:t>
      </w:r>
    </w:p>
    <w:p>
      <w:pPr>
        <w:spacing w:after="0" w:line="18" w:lineRule="exact"/>
        <w:rPr>
          <w:sz w:val="20"/>
          <w:szCs w:val="20"/>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price;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period;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the convertibility or exchangeability of the debt securities, including who may convert or exchange;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requiring adjustment to the conversion or exchange price;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or exchange in the event of our redemption of the debt securities;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provisions, if applicable.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9" w:name="page20"/>
    <w:bookmarkEnd w:id="19"/>
    <w:p>
      <w:pPr>
        <w:ind w:left="6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204710" cy="32385"/>
                    </a:xfrm>
                    <a:prstGeom prst="rect">
                      <a:avLst/>
                    </a:prstGeom>
                    <a:noFill/>
                  </pic:spPr>
                </pic:pic>
              </a:graphicData>
            </a:graphic>
          </wp:anchor>
        </w:drawing>
        <w:t>Registered Global Securities</w:t>
      </w:r>
    </w:p>
    <w:p>
      <w:pPr>
        <w:spacing w:after="0" w:line="87" w:lineRule="exact"/>
        <w:rPr>
          <w:sz w:val="20"/>
          <w:szCs w:val="20"/>
          <w:color w:val="auto"/>
        </w:rPr>
      </w:pPr>
    </w:p>
    <w:p>
      <w:pPr>
        <w:ind w:left="360" w:right="439" w:firstLine="332"/>
        <w:spacing w:after="0" w:line="253" w:lineRule="auto"/>
        <w:rPr>
          <w:sz w:val="20"/>
          <w:szCs w:val="20"/>
          <w:color w:val="auto"/>
        </w:rPr>
      </w:pPr>
      <w:r>
        <w:rPr>
          <w:rFonts w:ascii="Times New Roman" w:cs="Times New Roman" w:eastAsia="Times New Roman" w:hAnsi="Times New Roman"/>
          <w:sz w:val="14"/>
          <w:szCs w:val="14"/>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42" w:lineRule="exact"/>
        <w:rPr>
          <w:sz w:val="20"/>
          <w:szCs w:val="20"/>
          <w:color w:val="auto"/>
        </w:rPr>
      </w:pPr>
    </w:p>
    <w:p>
      <w:pPr>
        <w:ind w:left="360" w:right="419" w:firstLine="332"/>
        <w:spacing w:after="0" w:line="249" w:lineRule="auto"/>
        <w:rPr>
          <w:sz w:val="20"/>
          <w:szCs w:val="20"/>
          <w:color w:val="auto"/>
        </w:rPr>
      </w:pPr>
      <w:r>
        <w:rPr>
          <w:rFonts w:ascii="Times New Roman" w:cs="Times New Roman" w:eastAsia="Times New Roman" w:hAnsi="Times New Roman"/>
          <w:sz w:val="14"/>
          <w:szCs w:val="14"/>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No Protection in the Event of Change of Control</w:t>
      </w:r>
    </w:p>
    <w:p>
      <w:pPr>
        <w:spacing w:after="0" w:line="87" w:lineRule="exact"/>
        <w:rPr>
          <w:sz w:val="20"/>
          <w:szCs w:val="20"/>
          <w:color w:val="auto"/>
        </w:rPr>
      </w:pPr>
    </w:p>
    <w:p>
      <w:pPr>
        <w:ind w:left="360" w:right="439" w:firstLine="332"/>
        <w:spacing w:after="0" w:line="249" w:lineRule="auto"/>
        <w:rPr>
          <w:sz w:val="20"/>
          <w:szCs w:val="20"/>
          <w:color w:val="auto"/>
        </w:rPr>
      </w:pPr>
      <w:r>
        <w:rPr>
          <w:rFonts w:ascii="Times New Roman" w:cs="Times New Roman" w:eastAsia="Times New Roman" w:hAnsi="Times New Roman"/>
          <w:sz w:val="14"/>
          <w:szCs w:val="14"/>
          <w:color w:val="auto"/>
        </w:rPr>
        <w:t>The form of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7" w:lineRule="exact"/>
        <w:rPr>
          <w:sz w:val="20"/>
          <w:szCs w:val="20"/>
          <w:color w:val="auto"/>
        </w:rPr>
      </w:pPr>
    </w:p>
    <w:p>
      <w:pPr>
        <w:ind w:left="360" w:right="659" w:firstLine="332"/>
        <w:spacing w:after="0" w:line="253" w:lineRule="auto"/>
        <w:rPr>
          <w:sz w:val="20"/>
          <w:szCs w:val="20"/>
          <w:color w:val="auto"/>
        </w:rPr>
      </w:pPr>
      <w:r>
        <w:rPr>
          <w:rFonts w:ascii="Times New Roman" w:cs="Times New Roman" w:eastAsia="Times New Roman" w:hAnsi="Times New Roman"/>
          <w:sz w:val="14"/>
          <w:szCs w:val="14"/>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Merger, Consolidation or Sale of Assets</w:t>
      </w:r>
    </w:p>
    <w:p>
      <w:pPr>
        <w:spacing w:after="0" w:line="87" w:lineRule="exact"/>
        <w:rPr>
          <w:sz w:val="20"/>
          <w:szCs w:val="20"/>
          <w:color w:val="auto"/>
        </w:rPr>
      </w:pPr>
    </w:p>
    <w:p>
      <w:pPr>
        <w:ind w:left="360" w:right="579" w:firstLine="332"/>
        <w:spacing w:after="0" w:line="263" w:lineRule="auto"/>
        <w:rPr>
          <w:sz w:val="20"/>
          <w:szCs w:val="20"/>
          <w:color w:val="auto"/>
        </w:rPr>
      </w:pPr>
      <w:r>
        <w:rPr>
          <w:rFonts w:ascii="Times New Roman" w:cs="Times New Roman" w:eastAsia="Times New Roman" w:hAnsi="Times New Roman"/>
          <w:sz w:val="14"/>
          <w:szCs w:val="14"/>
          <w:color w:val="auto"/>
        </w:rPr>
        <w:t>The form of indenture provides that we will not consolidate with or merge into any other person or convey, transfer, sell or lease our properties and assets substantially as an entirety to any person, unless:</w:t>
      </w:r>
    </w:p>
    <w:p>
      <w:pPr>
        <w:spacing w:after="0" w:line="64" w:lineRule="exact"/>
        <w:rPr>
          <w:sz w:val="20"/>
          <w:szCs w:val="20"/>
          <w:color w:val="auto"/>
        </w:rPr>
      </w:pPr>
    </w:p>
    <w:p>
      <w:pPr>
        <w:ind w:left="1080" w:right="459" w:hanging="321"/>
        <w:spacing w:after="0" w:line="299" w:lineRule="auto"/>
        <w:tabs>
          <w:tab w:leader="none" w:pos="10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46" w:lineRule="exact"/>
        <w:rPr>
          <w:rFonts w:ascii="Times New Roman" w:cs="Times New Roman" w:eastAsia="Times New Roman" w:hAnsi="Times New Roman"/>
          <w:sz w:val="12"/>
          <w:szCs w:val="12"/>
          <w:color w:val="auto"/>
        </w:rPr>
      </w:pPr>
    </w:p>
    <w:p>
      <w:pPr>
        <w:ind w:left="1080" w:right="579" w:hanging="321"/>
        <w:spacing w:after="0" w:line="263" w:lineRule="auto"/>
        <w:tabs>
          <w:tab w:leader="none" w:pos="1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7" w:lineRule="exact"/>
        <w:rPr>
          <w:sz w:val="20"/>
          <w:szCs w:val="20"/>
          <w:color w:val="auto"/>
        </w:rPr>
      </w:pPr>
    </w:p>
    <w:p>
      <w:pPr>
        <w:ind w:left="360" w:right="379" w:firstLine="332"/>
        <w:spacing w:after="0" w:line="263"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following events will be events of default under the indenture with respect to debt securities of any series:</w:t>
      </w:r>
    </w:p>
    <w:p>
      <w:pPr>
        <w:spacing w:after="0" w:line="64" w:lineRule="exact"/>
        <w:rPr>
          <w:sz w:val="20"/>
          <w:szCs w:val="20"/>
          <w:color w:val="auto"/>
        </w:rPr>
      </w:pPr>
    </w:p>
    <w:p>
      <w:pPr>
        <w:ind w:left="1080" w:hanging="321"/>
        <w:spacing w:after="0"/>
        <w:tabs>
          <w:tab w:leader="none" w:pos="1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principal or premium, if any, when it becomes due;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any interest within 30 days after it becomes due;</w:t>
      </w:r>
    </w:p>
    <w:p>
      <w:pPr>
        <w:spacing w:after="0" w:line="93" w:lineRule="exact"/>
        <w:rPr>
          <w:rFonts w:ascii="Times New Roman" w:cs="Times New Roman" w:eastAsia="Times New Roman" w:hAnsi="Times New Roman"/>
          <w:sz w:val="14"/>
          <w:szCs w:val="14"/>
          <w:color w:val="auto"/>
        </w:rPr>
      </w:pPr>
    </w:p>
    <w:p>
      <w:pPr>
        <w:ind w:left="1080" w:right="519" w:hanging="321"/>
        <w:spacing w:after="0" w:line="253" w:lineRule="auto"/>
        <w:tabs>
          <w:tab w:leader="none" w:pos="1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 certain events involving bankruptcy, insolvency or reorganization of us or any of our significant subsidiaries.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5" w:right="1440" w:bottom="1440" w:gutter="0" w:footer="0" w:header="0"/>
        </w:sectPr>
      </w:pPr>
    </w:p>
    <w:bookmarkStart w:id="20" w:name="page21"/>
    <w:bookmarkEnd w:id="20"/>
    <w:p>
      <w:pPr>
        <w:jc w:val="both"/>
        <w:ind w:left="360" w:right="399" w:firstLine="332"/>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42" w:lineRule="exact"/>
        <w:rPr>
          <w:sz w:val="20"/>
          <w:szCs w:val="20"/>
          <w:color w:val="auto"/>
        </w:rPr>
      </w:pPr>
    </w:p>
    <w:p>
      <w:pPr>
        <w:ind w:left="360" w:right="419" w:firstLine="332"/>
        <w:spacing w:after="0" w:line="246" w:lineRule="auto"/>
        <w:rPr>
          <w:sz w:val="20"/>
          <w:szCs w:val="20"/>
          <w:color w:val="auto"/>
        </w:rPr>
      </w:pPr>
      <w:r>
        <w:rPr>
          <w:rFonts w:ascii="Times New Roman" w:cs="Times New Roman" w:eastAsia="Times New Roman" w:hAnsi="Times New Roman"/>
          <w:sz w:val="14"/>
          <w:szCs w:val="14"/>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78" w:lineRule="exact"/>
        <w:rPr>
          <w:sz w:val="20"/>
          <w:szCs w:val="20"/>
          <w:color w:val="auto"/>
        </w:rPr>
      </w:pPr>
    </w:p>
    <w:p>
      <w:pPr>
        <w:ind w:left="1080" w:hanging="321"/>
        <w:spacing w:after="0"/>
        <w:tabs>
          <w:tab w:leader="none" w:pos="1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nonpayment of accelerated principal, premium or interest) have been cured or waived;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lawful interest on overdue interest and overdue principal has been paid;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rescission would not conflict with any judgment or decree.</w:t>
      </w:r>
    </w:p>
    <w:p>
      <w:pPr>
        <w:spacing w:after="0" w:line="165" w:lineRule="exact"/>
        <w:rPr>
          <w:sz w:val="20"/>
          <w:szCs w:val="20"/>
          <w:color w:val="auto"/>
        </w:rPr>
      </w:pPr>
    </w:p>
    <w:p>
      <w:pPr>
        <w:jc w:val="both"/>
        <w:ind w:left="360" w:right="519" w:firstLine="332"/>
        <w:spacing w:after="0" w:line="253" w:lineRule="auto"/>
        <w:rPr>
          <w:sz w:val="20"/>
          <w:szCs w:val="20"/>
          <w:color w:val="auto"/>
        </w:rPr>
      </w:pPr>
      <w:r>
        <w:rPr>
          <w:rFonts w:ascii="Times New Roman" w:cs="Times New Roman" w:eastAsia="Times New Roman" w:hAnsi="Times New Roman"/>
          <w:sz w:val="14"/>
          <w:szCs w:val="14"/>
          <w:color w:val="auto"/>
        </w:rPr>
        <w:t>If an event of default resulting from certain events of bankruptcy, insolvency or reorganization with respect to us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42" w:lineRule="exact"/>
        <w:rPr>
          <w:sz w:val="20"/>
          <w:szCs w:val="20"/>
          <w:color w:val="auto"/>
        </w:rPr>
      </w:pPr>
    </w:p>
    <w:p>
      <w:pPr>
        <w:ind w:left="360" w:right="679" w:firstLine="332"/>
        <w:spacing w:after="0" w:line="253"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42" w:lineRule="exact"/>
        <w:rPr>
          <w:sz w:val="20"/>
          <w:szCs w:val="20"/>
          <w:color w:val="auto"/>
        </w:rPr>
      </w:pPr>
    </w:p>
    <w:p>
      <w:pPr>
        <w:ind w:left="360" w:right="439" w:firstLine="332"/>
        <w:spacing w:after="0" w:line="263" w:lineRule="auto"/>
        <w:rPr>
          <w:sz w:val="20"/>
          <w:szCs w:val="20"/>
          <w:color w:val="auto"/>
        </w:rPr>
      </w:pPr>
      <w:r>
        <w:rPr>
          <w:rFonts w:ascii="Times New Roman" w:cs="Times New Roman" w:eastAsia="Times New Roman" w:hAnsi="Times New Roman"/>
          <w:sz w:val="14"/>
          <w:szCs w:val="14"/>
          <w:color w:val="auto"/>
        </w:rPr>
        <w:t>No holder of any debt security of a series will have any right to institute any proceeding with respect to the indenture or for any remedy under the indenture, unless:</w:t>
      </w:r>
    </w:p>
    <w:p>
      <w:pPr>
        <w:spacing w:after="0" w:line="64" w:lineRule="exact"/>
        <w:rPr>
          <w:sz w:val="20"/>
          <w:szCs w:val="20"/>
          <w:color w:val="auto"/>
        </w:rPr>
      </w:pPr>
    </w:p>
    <w:p>
      <w:pPr>
        <w:ind w:left="1080" w:hanging="321"/>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to the trustee written notice of a continuing event of default;</w:t>
      </w:r>
    </w:p>
    <w:p>
      <w:pPr>
        <w:spacing w:after="0" w:line="93" w:lineRule="exact"/>
        <w:rPr>
          <w:rFonts w:ascii="Times New Roman" w:cs="Times New Roman" w:eastAsia="Times New Roman" w:hAnsi="Times New Roman"/>
          <w:sz w:val="14"/>
          <w:szCs w:val="14"/>
          <w:color w:val="auto"/>
        </w:rPr>
      </w:pPr>
    </w:p>
    <w:p>
      <w:pPr>
        <w:ind w:left="1080" w:right="579" w:hanging="321"/>
        <w:spacing w:after="0" w:line="263" w:lineRule="auto"/>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institute a proceeding within 60 days after such request; and</w:t>
      </w:r>
    </w:p>
    <w:p>
      <w:pPr>
        <w:spacing w:after="0" w:line="93" w:lineRule="exact"/>
        <w:rPr>
          <w:rFonts w:ascii="Times New Roman" w:cs="Times New Roman" w:eastAsia="Times New Roman" w:hAnsi="Times New Roman"/>
          <w:sz w:val="14"/>
          <w:szCs w:val="14"/>
          <w:color w:val="auto"/>
        </w:rPr>
      </w:pPr>
    </w:p>
    <w:p>
      <w:pPr>
        <w:ind w:left="1080" w:right="619" w:hanging="321"/>
        <w:spacing w:after="0" w:line="263" w:lineRule="auto"/>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outstanding debt securities of the affected series do not give the trustee a direction inconsistent with such request during such 60-day period.</w:t>
      </w:r>
    </w:p>
    <w:p>
      <w:pPr>
        <w:spacing w:after="0" w:line="136" w:lineRule="exact"/>
        <w:rPr>
          <w:sz w:val="20"/>
          <w:szCs w:val="20"/>
          <w:color w:val="auto"/>
        </w:rPr>
      </w:pPr>
    </w:p>
    <w:p>
      <w:pPr>
        <w:ind w:left="360" w:right="479" w:firstLine="332"/>
        <w:spacing w:after="0" w:line="263" w:lineRule="auto"/>
        <w:rPr>
          <w:sz w:val="20"/>
          <w:szCs w:val="20"/>
          <w:color w:val="auto"/>
        </w:rPr>
      </w:pPr>
      <w:r>
        <w:rPr>
          <w:rFonts w:ascii="Times New Roman" w:cs="Times New Roman" w:eastAsia="Times New Roman" w:hAnsi="Times New Roman"/>
          <w:sz w:val="14"/>
          <w:szCs w:val="14"/>
          <w:color w:val="auto"/>
        </w:rPr>
        <w:t>These limitations do not, however, apply to a suit instituted for payment on debt securities of any series on or after the due dates expressed in the debt securities.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will periodically deliver certificates to the trustee regarding our compliance with our obligations under the indenture.</w:t>
      </w:r>
    </w:p>
    <w:p>
      <w:pPr>
        <w:spacing w:after="0" w:line="1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21" w:name="page22"/>
    <w:bookmarkEnd w:id="21"/>
    <w:p>
      <w:pPr>
        <w:ind w:left="6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Modification and Waiver</w:t>
      </w:r>
    </w:p>
    <w:p>
      <w:pPr>
        <w:spacing w:after="0" w:line="87" w:lineRule="exact"/>
        <w:rPr>
          <w:sz w:val="20"/>
          <w:szCs w:val="20"/>
          <w:color w:val="auto"/>
        </w:rPr>
      </w:pPr>
    </w:p>
    <w:p>
      <w:pPr>
        <w:ind w:left="360" w:right="479" w:firstLine="332"/>
        <w:spacing w:after="0" w:line="263" w:lineRule="auto"/>
        <w:rPr>
          <w:sz w:val="20"/>
          <w:szCs w:val="20"/>
          <w:color w:val="auto"/>
        </w:rPr>
      </w:pPr>
      <w:r>
        <w:rPr>
          <w:rFonts w:ascii="Times New Roman" w:cs="Times New Roman" w:eastAsia="Times New Roman" w:hAnsi="Times New Roman"/>
          <w:sz w:val="14"/>
          <w:szCs w:val="14"/>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4" w:lineRule="exact"/>
        <w:rPr>
          <w:sz w:val="20"/>
          <w:szCs w:val="20"/>
          <w:color w:val="auto"/>
        </w:rPr>
      </w:pPr>
    </w:p>
    <w:p>
      <w:pPr>
        <w:ind w:left="1080" w:right="839" w:hanging="321"/>
        <w:spacing w:after="0" w:line="263" w:lineRule="auto"/>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assumption by a successor entity of our obligations under the indenture and the debt securities in connection with a consolidation, merger or transfer of all or substantially all of our assets permitted under the indenture;</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certificated debt securities in addition to uncertificated debt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under the Trust Indenture Act of 1939;</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issuance of and establish the form and terms and conditions of debt securities of any series as permitted by the indenture;</w:t>
      </w:r>
    </w:p>
    <w:p>
      <w:pPr>
        <w:spacing w:after="0" w:line="116" w:lineRule="exact"/>
        <w:rPr>
          <w:rFonts w:ascii="Times New Roman" w:cs="Times New Roman" w:eastAsia="Times New Roman" w:hAnsi="Times New Roman"/>
          <w:sz w:val="12"/>
          <w:szCs w:val="12"/>
          <w:color w:val="auto"/>
        </w:rPr>
      </w:pPr>
    </w:p>
    <w:p>
      <w:pPr>
        <w:ind w:left="1080" w:right="619" w:hanging="321"/>
        <w:spacing w:after="0" w:line="263" w:lineRule="auto"/>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or make any other change that does not materially and adversely affect the rights of any holder; and</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appoint a successor trustee under the indenture with respect to one or more series.</w:t>
      </w:r>
    </w:p>
    <w:p>
      <w:pPr>
        <w:spacing w:after="0" w:line="165" w:lineRule="exact"/>
        <w:rPr>
          <w:sz w:val="20"/>
          <w:szCs w:val="20"/>
          <w:color w:val="auto"/>
        </w:rPr>
      </w:pPr>
    </w:p>
    <w:p>
      <w:pPr>
        <w:ind w:left="360" w:right="479" w:firstLine="332"/>
        <w:spacing w:after="0" w:line="249" w:lineRule="auto"/>
        <w:rPr>
          <w:sz w:val="20"/>
          <w:szCs w:val="20"/>
          <w:color w:val="auto"/>
        </w:rPr>
      </w:pPr>
      <w:r>
        <w:rPr>
          <w:rFonts w:ascii="Times New Roman" w:cs="Times New Roman" w:eastAsia="Times New Roman" w:hAnsi="Times New Roman"/>
          <w:sz w:val="14"/>
          <w:szCs w:val="14"/>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5" w:lineRule="exact"/>
        <w:rPr>
          <w:sz w:val="20"/>
          <w:szCs w:val="20"/>
          <w:color w:val="auto"/>
        </w:rPr>
      </w:pPr>
    </w:p>
    <w:p>
      <w:pPr>
        <w:ind w:left="1080" w:right="579" w:hanging="321"/>
        <w:spacing w:after="0" w:line="263" w:lineRule="auto"/>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 to the indenture or such debt security;</w:t>
      </w:r>
    </w:p>
    <w:p>
      <w:pPr>
        <w:spacing w:after="0" w:line="64" w:lineRule="exact"/>
        <w:rPr>
          <w:rFonts w:ascii="Times New Roman" w:cs="Times New Roman" w:eastAsia="Times New Roman" w:hAnsi="Times New Roman"/>
          <w:sz w:val="14"/>
          <w:szCs w:val="14"/>
          <w:color w:val="auto"/>
        </w:rPr>
      </w:pPr>
    </w:p>
    <w:p>
      <w:pPr>
        <w:ind w:left="1080" w:right="519" w:hanging="321"/>
        <w:spacing w:after="0" w:line="263" w:lineRule="auto"/>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or reduce the amount of or postpone the date for payment of sinking fund or analogous obligations;</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stated maturity of the debt securities;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debt security payable in money other than that stated in the debt security;</w:t>
      </w:r>
    </w:p>
    <w:p>
      <w:pPr>
        <w:spacing w:after="0" w:line="93" w:lineRule="exact"/>
        <w:rPr>
          <w:rFonts w:ascii="Times New Roman" w:cs="Times New Roman" w:eastAsia="Times New Roman" w:hAnsi="Times New Roman"/>
          <w:sz w:val="14"/>
          <w:szCs w:val="14"/>
          <w:color w:val="auto"/>
        </w:rPr>
      </w:pPr>
    </w:p>
    <w:p>
      <w:pPr>
        <w:ind w:left="1080" w:right="399" w:hanging="321"/>
        <w:spacing w:after="0" w:line="263" w:lineRule="auto"/>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amount or time of any payment required or reduce the premium payable upon any redemption, or change the time before which no such redemption may be made;</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if any, or interest on the debt securities or a redemption payment;</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a redemption payment with respect to any debt securities or change any provision with respect to redemption of debt securities; or</w:t>
      </w:r>
    </w:p>
    <w:p>
      <w:pPr>
        <w:spacing w:after="0" w:line="116" w:lineRule="exact"/>
        <w:rPr>
          <w:rFonts w:ascii="Times New Roman" w:cs="Times New Roman" w:eastAsia="Times New Roman" w:hAnsi="Times New Roman"/>
          <w:sz w:val="12"/>
          <w:szCs w:val="12"/>
          <w:color w:val="auto"/>
        </w:rPr>
      </w:pPr>
    </w:p>
    <w:p>
      <w:pPr>
        <w:ind w:left="1080" w:hanging="321"/>
        <w:spacing w:after="0"/>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other action otherwise prohibited by the indenture to be taken without the consent of each holder affected by the action.</w:t>
      </w:r>
    </w:p>
    <w:p>
      <w:pPr>
        <w:spacing w:after="0" w:line="2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7" w:lineRule="exact"/>
        <w:rPr>
          <w:sz w:val="20"/>
          <w:szCs w:val="20"/>
          <w:color w:val="auto"/>
        </w:rPr>
      </w:pPr>
    </w:p>
    <w:p>
      <w:pPr>
        <w:ind w:left="360" w:right="759" w:firstLine="332"/>
        <w:spacing w:after="0" w:line="263" w:lineRule="auto"/>
        <w:rPr>
          <w:sz w:val="20"/>
          <w:szCs w:val="20"/>
          <w:color w:val="auto"/>
        </w:rPr>
      </w:pPr>
      <w:r>
        <w:rPr>
          <w:rFonts w:ascii="Times New Roman" w:cs="Times New Roman" w:eastAsia="Times New Roman" w:hAnsi="Times New Roman"/>
          <w:sz w:val="14"/>
          <w:szCs w:val="14"/>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64" w:lineRule="exact"/>
        <w:rPr>
          <w:sz w:val="20"/>
          <w:szCs w:val="20"/>
          <w:color w:val="auto"/>
        </w:rPr>
      </w:pPr>
    </w:p>
    <w:p>
      <w:pPr>
        <w:ind w:left="1080" w:right="379" w:hanging="321"/>
        <w:spacing w:after="0" w:line="263" w:lineRule="auto"/>
        <w:tabs>
          <w:tab w:leader="none" w:pos="1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defease and be discharged from any and all of our obligations with respect to any debt securities except for certain obligations, including the following (which discharge is referred to as “legal defeasance”):</w:t>
      </w:r>
    </w:p>
    <w:p>
      <w:pPr>
        <w:spacing w:after="0" w:line="54" w:lineRule="exact"/>
        <w:rPr>
          <w:rFonts w:ascii="Times New Roman" w:cs="Times New Roman" w:eastAsia="Times New Roman" w:hAnsi="Times New Roman"/>
          <w:sz w:val="14"/>
          <w:szCs w:val="14"/>
          <w:color w:val="auto"/>
        </w:rPr>
      </w:pPr>
    </w:p>
    <w:p>
      <w:pPr>
        <w:ind w:left="1240" w:hanging="141"/>
        <w:spacing w:after="0"/>
        <w:tabs>
          <w:tab w:leader="none" w:pos="12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or exchange of such debt securities;</w:t>
      </w:r>
    </w:p>
    <w:p>
      <w:pPr>
        <w:spacing w:after="0" w:line="83" w:lineRule="exact"/>
        <w:rPr>
          <w:rFonts w:ascii="Times New Roman" w:cs="Times New Roman" w:eastAsia="Times New Roman" w:hAnsi="Times New Roman"/>
          <w:sz w:val="14"/>
          <w:szCs w:val="14"/>
          <w:color w:val="auto"/>
        </w:rPr>
      </w:pPr>
    </w:p>
    <w:p>
      <w:pPr>
        <w:ind w:left="1240" w:hanging="141"/>
        <w:spacing w:after="0"/>
        <w:tabs>
          <w:tab w:leader="none" w:pos="12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replace temporary or mutilated, destroyed, lost or stolen debt securities;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5" w:right="1440" w:bottom="1440" w:gutter="0" w:footer="0" w:header="0"/>
        </w:sectPr>
      </w:pPr>
    </w:p>
    <w:bookmarkStart w:id="22" w:name="page23"/>
    <w:bookmarkEnd w:id="22"/>
    <w:p>
      <w:pPr>
        <w:ind w:left="1240" w:hanging="141"/>
        <w:spacing w:after="0"/>
        <w:tabs>
          <w:tab w:leader="none" w:pos="12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to compensate and indemnify the trustee; and</w:t>
      </w:r>
    </w:p>
    <w:p>
      <w:pPr>
        <w:spacing w:after="0" w:line="83" w:lineRule="exact"/>
        <w:rPr>
          <w:rFonts w:ascii="Times New Roman" w:cs="Times New Roman" w:eastAsia="Times New Roman" w:hAnsi="Times New Roman"/>
          <w:sz w:val="14"/>
          <w:szCs w:val="14"/>
          <w:color w:val="auto"/>
        </w:rPr>
      </w:pPr>
    </w:p>
    <w:p>
      <w:pPr>
        <w:ind w:left="1240" w:hanging="141"/>
        <w:spacing w:after="0"/>
        <w:tabs>
          <w:tab w:leader="none" w:pos="12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an office or agency in respect of the debt securities and to hold monies for payment in trust; or</w:t>
      </w:r>
    </w:p>
    <w:p>
      <w:pPr>
        <w:spacing w:after="0" w:line="93" w:lineRule="exact"/>
        <w:rPr>
          <w:rFonts w:ascii="Times New Roman" w:cs="Times New Roman" w:eastAsia="Times New Roman" w:hAnsi="Times New Roman"/>
          <w:sz w:val="14"/>
          <w:szCs w:val="14"/>
          <w:color w:val="auto"/>
        </w:rPr>
      </w:pPr>
    </w:p>
    <w:p>
      <w:pPr>
        <w:ind w:left="1080" w:right="599" w:hanging="321"/>
        <w:spacing w:after="0" w:line="253" w:lineRule="auto"/>
        <w:tabs>
          <w:tab w:leader="none" w:pos="1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In order to exercise either defeasance option, we must irrevocably deposit with the trustee or other qualifying trustee, in trust for that purpose:</w:t>
      </w:r>
    </w:p>
    <w:p>
      <w:pPr>
        <w:spacing w:after="0" w:line="93" w:lineRule="exact"/>
        <w:rPr>
          <w:sz w:val="20"/>
          <w:szCs w:val="20"/>
          <w:color w:val="auto"/>
        </w:rPr>
      </w:pPr>
    </w:p>
    <w:p>
      <w:pPr>
        <w:ind w:left="1080" w:hanging="321"/>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w:t>
      </w:r>
    </w:p>
    <w:p>
      <w:pPr>
        <w:spacing w:after="0" w:line="93" w:lineRule="exact"/>
        <w:rPr>
          <w:rFonts w:ascii="Times New Roman" w:cs="Times New Roman" w:eastAsia="Times New Roman" w:hAnsi="Times New Roman"/>
          <w:sz w:val="14"/>
          <w:szCs w:val="14"/>
          <w:color w:val="auto"/>
        </w:rPr>
      </w:pPr>
    </w:p>
    <w:p>
      <w:pPr>
        <w:ind w:left="1080" w:right="559" w:hanging="321"/>
        <w:spacing w:after="0" w:line="263" w:lineRule="auto"/>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Obligations (as described below) or Foreign Government Obligations (as described below) that through the scheduled payment of principal and interest in accordance with their terms will provide money; or</w:t>
      </w:r>
    </w:p>
    <w:p>
      <w:pPr>
        <w:spacing w:after="0" w:line="64" w:lineRule="exact"/>
        <w:rPr>
          <w:rFonts w:ascii="Times New Roman" w:cs="Times New Roman" w:eastAsia="Times New Roman" w:hAnsi="Times New Roman"/>
          <w:sz w:val="14"/>
          <w:szCs w:val="14"/>
          <w:color w:val="auto"/>
        </w:rPr>
      </w:pPr>
    </w:p>
    <w:p>
      <w:pPr>
        <w:ind w:left="1080" w:right="379" w:hanging="321"/>
        <w:spacing w:after="0" w:line="263" w:lineRule="auto"/>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money and/or U.S. Government Obligations and/or Foreign Government Obligations sufficient in the written certification of a nationally-recognized firm of independent accountants to provide money;</w:t>
      </w:r>
    </w:p>
    <w:p>
      <w:pPr>
        <w:spacing w:after="0" w:line="136" w:lineRule="exact"/>
        <w:rPr>
          <w:sz w:val="20"/>
          <w:szCs w:val="20"/>
          <w:color w:val="auto"/>
        </w:rPr>
      </w:pPr>
    </w:p>
    <w:p>
      <w:pPr>
        <w:ind w:left="360" w:right="459" w:firstLine="332"/>
        <w:spacing w:after="0" w:line="263" w:lineRule="auto"/>
        <w:rPr>
          <w:sz w:val="20"/>
          <w:szCs w:val="20"/>
          <w:color w:val="auto"/>
        </w:rPr>
      </w:pPr>
      <w:r>
        <w:rPr>
          <w:rFonts w:ascii="Times New Roman" w:cs="Times New Roman" w:eastAsia="Times New Roman" w:hAnsi="Times New Roman"/>
          <w:sz w:val="14"/>
          <w:szCs w:val="14"/>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 addition, defeasance may be effected only if, among other things:</w:t>
      </w:r>
    </w:p>
    <w:p>
      <w:pPr>
        <w:spacing w:after="0" w:line="93" w:lineRule="exact"/>
        <w:rPr>
          <w:sz w:val="20"/>
          <w:szCs w:val="20"/>
          <w:color w:val="auto"/>
        </w:rPr>
      </w:pPr>
    </w:p>
    <w:p>
      <w:pPr>
        <w:ind w:left="1080" w:right="439" w:hanging="321"/>
        <w:spacing w:after="0" w:line="253"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70" w:lineRule="exact"/>
        <w:rPr>
          <w:rFonts w:ascii="Times New Roman" w:cs="Times New Roman" w:eastAsia="Times New Roman" w:hAnsi="Times New Roman"/>
          <w:sz w:val="14"/>
          <w:szCs w:val="14"/>
          <w:color w:val="auto"/>
        </w:rPr>
      </w:pPr>
    </w:p>
    <w:p>
      <w:pPr>
        <w:ind w:left="1080" w:right="459" w:hanging="321"/>
        <w:spacing w:after="0" w:line="246"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78" w:lineRule="exact"/>
        <w:rPr>
          <w:rFonts w:ascii="Times New Roman" w:cs="Times New Roman" w:eastAsia="Times New Roman" w:hAnsi="Times New Roman"/>
          <w:sz w:val="14"/>
          <w:szCs w:val="14"/>
          <w:color w:val="auto"/>
        </w:rPr>
      </w:pPr>
    </w:p>
    <w:p>
      <w:pPr>
        <w:ind w:left="1080" w:right="379" w:hanging="321"/>
        <w:spacing w:after="0" w:line="249"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7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conditions described in the indenture are satisfied.</w:t>
      </w:r>
    </w:p>
    <w:p>
      <w:pPr>
        <w:spacing w:after="0" w:line="165" w:lineRule="exact"/>
        <w:rPr>
          <w:sz w:val="20"/>
          <w:szCs w:val="20"/>
          <w:color w:val="auto"/>
        </w:rPr>
      </w:pPr>
    </w:p>
    <w:p>
      <w:pPr>
        <w:ind w:left="360" w:right="379" w:firstLine="332"/>
        <w:spacing w:after="0" w:line="247" w:lineRule="auto"/>
        <w:rPr>
          <w:sz w:val="20"/>
          <w:szCs w:val="20"/>
          <w:color w:val="auto"/>
        </w:rPr>
      </w:pPr>
      <w:r>
        <w:rPr>
          <w:rFonts w:ascii="Times New Roman" w:cs="Times New Roman" w:eastAsia="Times New Roman" w:hAnsi="Times New Roman"/>
          <w:sz w:val="14"/>
          <w:szCs w:val="14"/>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48" w:lineRule="exact"/>
        <w:rPr>
          <w:sz w:val="20"/>
          <w:szCs w:val="20"/>
          <w:color w:val="auto"/>
        </w:rPr>
      </w:pPr>
    </w:p>
    <w:p>
      <w:pPr>
        <w:ind w:left="360" w:right="359" w:firstLine="332"/>
        <w:spacing w:after="0" w:line="253" w:lineRule="auto"/>
        <w:rPr>
          <w:sz w:val="20"/>
          <w:szCs w:val="20"/>
          <w:color w:val="auto"/>
        </w:rPr>
      </w:pPr>
      <w:r>
        <w:rPr>
          <w:rFonts w:ascii="Times New Roman" w:cs="Times New Roman" w:eastAsia="Times New Roman" w:hAnsi="Times New Roman"/>
          <w:sz w:val="14"/>
          <w:szCs w:val="14"/>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23" w:name="page24"/>
    <w:bookmarkEnd w:id="23"/>
    <w:p>
      <w:pPr>
        <w:ind w:left="360" w:right="479" w:firstLine="332"/>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87" w:lineRule="exact"/>
        <w:rPr>
          <w:sz w:val="20"/>
          <w:szCs w:val="20"/>
          <w:color w:val="auto"/>
        </w:rPr>
      </w:pPr>
    </w:p>
    <w:p>
      <w:pPr>
        <w:ind w:left="360" w:right="379" w:firstLine="332"/>
        <w:spacing w:after="0" w:line="247" w:lineRule="auto"/>
        <w:rPr>
          <w:sz w:val="20"/>
          <w:szCs w:val="20"/>
          <w:color w:val="auto"/>
        </w:rPr>
      </w:pPr>
      <w:r>
        <w:rPr>
          <w:rFonts w:ascii="Times New Roman" w:cs="Times New Roman" w:eastAsia="Times New Roman" w:hAnsi="Times New Roman"/>
          <w:sz w:val="14"/>
          <w:szCs w:val="14"/>
          <w:color w:val="auto"/>
        </w:rPr>
        <w:t>We will identify the trustee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48" w:lineRule="exact"/>
        <w:rPr>
          <w:sz w:val="20"/>
          <w:szCs w:val="20"/>
          <w:color w:val="auto"/>
        </w:rPr>
      </w:pPr>
    </w:p>
    <w:p>
      <w:pPr>
        <w:ind w:left="360" w:right="439" w:firstLine="332"/>
        <w:spacing w:after="0" w:line="247" w:lineRule="auto"/>
        <w:rPr>
          <w:sz w:val="20"/>
          <w:szCs w:val="20"/>
          <w:color w:val="auto"/>
        </w:rPr>
      </w:pPr>
      <w:r>
        <w:rPr>
          <w:rFonts w:ascii="Times New Roman" w:cs="Times New Roman" w:eastAsia="Times New Roman" w:hAnsi="Times New Roman"/>
          <w:sz w:val="14"/>
          <w:szCs w:val="14"/>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No Individual Liability of Incorporators, Stockholders, Officers or Directors</w:t>
      </w:r>
    </w:p>
    <w:p>
      <w:pPr>
        <w:spacing w:after="0" w:line="87" w:lineRule="exact"/>
        <w:rPr>
          <w:sz w:val="20"/>
          <w:szCs w:val="20"/>
          <w:color w:val="auto"/>
        </w:rPr>
      </w:pPr>
    </w:p>
    <w:p>
      <w:pPr>
        <w:ind w:left="360" w:right="399" w:firstLine="332"/>
        <w:spacing w:after="0" w:line="253" w:lineRule="auto"/>
        <w:rPr>
          <w:sz w:val="20"/>
          <w:szCs w:val="20"/>
          <w:color w:val="auto"/>
        </w:rPr>
      </w:pPr>
      <w:r>
        <w:rPr>
          <w:rFonts w:ascii="Times New Roman" w:cs="Times New Roman" w:eastAsia="Times New Roman" w:hAnsi="Times New Roman"/>
          <w:sz w:val="14"/>
          <w:szCs w:val="14"/>
          <w:color w:val="auto"/>
        </w:rPr>
        <w:t>The form of indenture provides that no incorporator and no past, present or future shareholder, officer or director of our company or any successor corporation in those capacities will have any individual liability for any of our obligations, covenants or agreements under the debt securities or indenture.</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WARRANTS</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360" w:right="719" w:firstLine="332"/>
        <w:spacing w:after="0" w:line="246" w:lineRule="auto"/>
        <w:rPr>
          <w:sz w:val="20"/>
          <w:szCs w:val="20"/>
          <w:color w:val="auto"/>
        </w:rPr>
      </w:pPr>
      <w:r>
        <w:rPr>
          <w:rFonts w:ascii="Times New Roman" w:cs="Times New Roman" w:eastAsia="Times New Roman" w:hAnsi="Times New Roman"/>
          <w:sz w:val="14"/>
          <w:szCs w:val="14"/>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87" w:lineRule="exact"/>
        <w:rPr>
          <w:sz w:val="20"/>
          <w:szCs w:val="20"/>
          <w:color w:val="auto"/>
        </w:rPr>
      </w:pPr>
    </w:p>
    <w:p>
      <w:pPr>
        <w:ind w:left="360" w:right="779" w:firstLine="332"/>
        <w:spacing w:after="0" w:line="263"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to purchase debt securities will describe the terms of the debt warrants, including the following:</w:t>
      </w:r>
    </w:p>
    <w:p>
      <w:pPr>
        <w:spacing w:after="0" w:line="64" w:lineRule="exact"/>
        <w:rPr>
          <w:sz w:val="20"/>
          <w:szCs w:val="20"/>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debt warrants, if any;</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debt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debt securities, including any conversion rights, purchasable upon exercise of the debt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debt warrants and any debt securities issued with them will be separately transferable;</w:t>
      </w:r>
    </w:p>
    <w:p>
      <w:pPr>
        <w:spacing w:after="0" w:line="93" w:lineRule="exact"/>
        <w:rPr>
          <w:rFonts w:ascii="Times New Roman" w:cs="Times New Roman" w:eastAsia="Times New Roman" w:hAnsi="Times New Roman"/>
          <w:sz w:val="14"/>
          <w:szCs w:val="14"/>
          <w:color w:val="auto"/>
        </w:rPr>
      </w:pPr>
    </w:p>
    <w:p>
      <w:pPr>
        <w:ind w:left="1080" w:right="719" w:hanging="321"/>
        <w:spacing w:after="0" w:line="263" w:lineRule="auto"/>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that may be purchased upon exercise of a debt warrant and the exercise price for the warrants, which may be payable in cash, securities or other property;</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debt warrants will commence and expire;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debt warrants that may be exercised at any one time;</w:t>
      </w:r>
    </w:p>
    <w:p>
      <w:pPr>
        <w:spacing w:after="0" w:line="93" w:lineRule="exact"/>
        <w:rPr>
          <w:rFonts w:ascii="Times New Roman" w:cs="Times New Roman" w:eastAsia="Times New Roman" w:hAnsi="Times New Roman"/>
          <w:sz w:val="14"/>
          <w:szCs w:val="14"/>
          <w:color w:val="auto"/>
        </w:rPr>
      </w:pPr>
    </w:p>
    <w:p>
      <w:pPr>
        <w:ind w:left="1080" w:right="759" w:hanging="321"/>
        <w:spacing w:after="0" w:line="263" w:lineRule="auto"/>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or debt securities that may be issued upon exercise of the debt warrants will be issued in registered or bearer form;</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debt warrants, if any;</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the debt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with respect to the holder’s right to require us to repurchase the debt warrants upon a change in control or similar event; and</w:t>
      </w:r>
    </w:p>
    <w:p>
      <w:pPr>
        <w:spacing w:after="0" w:line="116" w:lineRule="exact"/>
        <w:rPr>
          <w:rFonts w:ascii="Times New Roman" w:cs="Times New Roman" w:eastAsia="Times New Roman" w:hAnsi="Times New Roman"/>
          <w:sz w:val="12"/>
          <w:szCs w:val="12"/>
          <w:color w:val="auto"/>
        </w:rPr>
      </w:pPr>
    </w:p>
    <w:p>
      <w:pPr>
        <w:ind w:left="1080" w:right="619" w:hanging="321"/>
        <w:spacing w:after="0" w:line="263" w:lineRule="auto"/>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debt warrants, including procedures and limitations relating to the exchange, exercise, and settlement of the debt warrants.</w:t>
      </w:r>
    </w:p>
    <w:p>
      <w:pPr>
        <w:spacing w:after="0" w:line="136" w:lineRule="exact"/>
        <w:rPr>
          <w:sz w:val="20"/>
          <w:szCs w:val="20"/>
          <w:color w:val="auto"/>
        </w:rPr>
      </w:pPr>
    </w:p>
    <w:p>
      <w:pPr>
        <w:ind w:left="360" w:right="399" w:firstLine="332"/>
        <w:spacing w:after="0" w:line="249" w:lineRule="auto"/>
        <w:rPr>
          <w:sz w:val="20"/>
          <w:szCs w:val="20"/>
          <w:color w:val="auto"/>
        </w:rPr>
      </w:pPr>
      <w:r>
        <w:rPr>
          <w:rFonts w:ascii="Times New Roman" w:cs="Times New Roman" w:eastAsia="Times New Roman" w:hAnsi="Times New Roman"/>
          <w:sz w:val="14"/>
          <w:szCs w:val="14"/>
          <w:color w:val="auto"/>
        </w:rPr>
        <w:t>Debt warrant certificates will be exchangeable for new debt warrant certificates of different denominations.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5" w:right="1440" w:bottom="1440" w:gutter="0" w:footer="0" w:header="0"/>
        </w:sectPr>
      </w:pPr>
    </w:p>
    <w:bookmarkStart w:id="25" w:name="page26"/>
    <w:bookmarkEnd w:id="25"/>
    <w:p>
      <w:pPr>
        <w:ind w:left="6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Equity Warrants</w:t>
      </w:r>
    </w:p>
    <w:p>
      <w:pPr>
        <w:spacing w:after="0" w:line="87" w:lineRule="exact"/>
        <w:rPr>
          <w:sz w:val="20"/>
          <w:szCs w:val="20"/>
          <w:color w:val="auto"/>
        </w:rPr>
      </w:pPr>
    </w:p>
    <w:p>
      <w:pPr>
        <w:ind w:left="360" w:right="519" w:firstLine="332"/>
        <w:spacing w:after="0" w:line="263" w:lineRule="auto"/>
        <w:rPr>
          <w:sz w:val="20"/>
          <w:szCs w:val="20"/>
          <w:color w:val="auto"/>
        </w:rPr>
      </w:pPr>
      <w:r>
        <w:rPr>
          <w:rFonts w:ascii="Times New Roman" w:cs="Times New Roman" w:eastAsia="Times New Roman" w:hAnsi="Times New Roman"/>
          <w:sz w:val="14"/>
          <w:szCs w:val="14"/>
          <w:color w:val="auto"/>
        </w:rPr>
        <w:t>The prospectus supplement relating to a particular series of warrants to purchase our common stock or preferred stock will describe the terms of the warrants, including the following:</w:t>
      </w:r>
    </w:p>
    <w:p>
      <w:pPr>
        <w:spacing w:after="0" w:line="64" w:lineRule="exact"/>
        <w:rPr>
          <w:sz w:val="20"/>
          <w:szCs w:val="20"/>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the warrants, if any;</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common stock or preferred stock that may be purchased upon exercise of the warrants;</w:t>
      </w:r>
    </w:p>
    <w:p>
      <w:pPr>
        <w:spacing w:after="0" w:line="93" w:lineRule="exact"/>
        <w:rPr>
          <w:rFonts w:ascii="Times New Roman" w:cs="Times New Roman" w:eastAsia="Times New Roman" w:hAnsi="Times New Roman"/>
          <w:sz w:val="14"/>
          <w:szCs w:val="14"/>
          <w:color w:val="auto"/>
        </w:rPr>
      </w:pPr>
    </w:p>
    <w:p>
      <w:pPr>
        <w:ind w:left="1080" w:right="539" w:hanging="321"/>
        <w:spacing w:after="0" w:line="263"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security;</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any securities issued with the warrants will be separately transferable;</w:t>
      </w:r>
    </w:p>
    <w:p>
      <w:pPr>
        <w:spacing w:after="0" w:line="93" w:lineRule="exact"/>
        <w:rPr>
          <w:rFonts w:ascii="Times New Roman" w:cs="Times New Roman" w:eastAsia="Times New Roman" w:hAnsi="Times New Roman"/>
          <w:sz w:val="14"/>
          <w:szCs w:val="14"/>
          <w:color w:val="auto"/>
        </w:rPr>
      </w:pPr>
    </w:p>
    <w:p>
      <w:pPr>
        <w:ind w:left="1080" w:right="499" w:hanging="321"/>
        <w:spacing w:after="0" w:line="263"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that may be purchased upon exercise of a warrant and the exercise price for the warrants;</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shall commence and expire;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U.S. federal income tax considerations;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the warrants;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with respect to a holder’s right to require us to repurchase the warrants upon a change in control or similar event; and</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terms of the warrants, including procedures and limitations relating to the exchange, exercise and settlement of the warrants.</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Before exercising their warrants, holders of equity warrants will not be entitled:</w:t>
      </w:r>
    </w:p>
    <w:p>
      <w:pPr>
        <w:spacing w:after="0" w:line="93" w:lineRule="exact"/>
        <w:rPr>
          <w:sz w:val="20"/>
          <w:szCs w:val="20"/>
          <w:color w:val="auto"/>
        </w:rPr>
      </w:pPr>
    </w:p>
    <w:p>
      <w:pPr>
        <w:ind w:left="1080" w:hanging="321"/>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consent, or receive dividends;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as shareholders with respect to any meeting of shareholders for the election of our directors or any other matter; or</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rights as shareholders.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5"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SUBSCRIPTION RIGHTS</w:t>
      </w:r>
    </w:p>
    <w:p>
      <w:pPr>
        <w:spacing w:after="0" w:line="169" w:lineRule="exact"/>
        <w:rPr>
          <w:sz w:val="20"/>
          <w:szCs w:val="20"/>
          <w:color w:val="auto"/>
        </w:rPr>
      </w:pPr>
    </w:p>
    <w:p>
      <w:pPr>
        <w:ind w:left="360" w:right="399" w:firstLine="332"/>
        <w:spacing w:after="0" w:line="247" w:lineRule="auto"/>
        <w:rPr>
          <w:sz w:val="20"/>
          <w:szCs w:val="20"/>
          <w:color w:val="auto"/>
        </w:rPr>
      </w:pPr>
      <w:r>
        <w:rPr>
          <w:rFonts w:ascii="Times New Roman" w:cs="Times New Roman" w:eastAsia="Times New Roman" w:hAnsi="Times New Roman"/>
          <w:sz w:val="14"/>
          <w:szCs w:val="14"/>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8" w:lineRule="exact"/>
        <w:rPr>
          <w:sz w:val="20"/>
          <w:szCs w:val="20"/>
          <w:color w:val="auto"/>
        </w:rPr>
      </w:pPr>
    </w:p>
    <w:p>
      <w:pPr>
        <w:ind w:left="360" w:right="479" w:firstLine="332"/>
        <w:spacing w:after="0" w:line="263"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offer, if any, will, to the extent applicable, include specific terms relating to the offering, including some or all of the following:</w:t>
      </w:r>
    </w:p>
    <w:p>
      <w:pPr>
        <w:spacing w:after="0" w:line="64" w:lineRule="exact"/>
        <w:rPr>
          <w:sz w:val="20"/>
          <w:szCs w:val="20"/>
          <w:color w:val="auto"/>
        </w:rPr>
      </w:pPr>
    </w:p>
    <w:p>
      <w:pPr>
        <w:ind w:left="1080" w:hanging="321"/>
        <w:spacing w:after="0"/>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common stock, preferred stock or debt securities upon the exercise of the subscription rights;</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to be issued to each stockholder;</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common stock, preferred stock or debt securities which may be purchased per each subscription right;</w:t>
      </w:r>
    </w:p>
    <w:p>
      <w:pPr>
        <w:spacing w:after="0" w:line="93"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3" w:lineRule="exact"/>
        <w:rPr>
          <w:rFonts w:ascii="Times New Roman" w:cs="Times New Roman" w:eastAsia="Times New Roman" w:hAnsi="Times New Roman"/>
          <w:sz w:val="14"/>
          <w:szCs w:val="14"/>
          <w:color w:val="auto"/>
        </w:rPr>
      </w:pPr>
    </w:p>
    <w:p>
      <w:pPr>
        <w:ind w:left="1080" w:right="699" w:hanging="321"/>
        <w:spacing w:after="0" w:line="263" w:lineRule="auto"/>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64" w:lineRule="exact"/>
        <w:rPr>
          <w:rFonts w:ascii="Times New Roman" w:cs="Times New Roman" w:eastAsia="Times New Roman" w:hAnsi="Times New Roman"/>
          <w:sz w:val="14"/>
          <w:szCs w:val="14"/>
          <w:color w:val="auto"/>
        </w:rPr>
      </w:pPr>
    </w:p>
    <w:p>
      <w:pPr>
        <w:ind w:left="1080" w:hanging="321"/>
        <w:spacing w:after="0"/>
        <w:tabs>
          <w:tab w:leader="none" w:pos="10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right to exercise the subscription rights shall commence, and the date on which the subscription rights shall expire;</w:t>
      </w:r>
    </w:p>
    <w:p>
      <w:pPr>
        <w:spacing w:after="0" w:line="116" w:lineRule="exact"/>
        <w:rPr>
          <w:rFonts w:ascii="Times New Roman" w:cs="Times New Roman" w:eastAsia="Times New Roman" w:hAnsi="Times New Roman"/>
          <w:sz w:val="12"/>
          <w:szCs w:val="12"/>
          <w:color w:val="auto"/>
        </w:rPr>
      </w:pPr>
    </w:p>
    <w:p>
      <w:pPr>
        <w:ind w:left="1080" w:right="539" w:hanging="321"/>
        <w:spacing w:after="0" w:line="263" w:lineRule="auto"/>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or an over-allotment privilege to the extent the securities are fully subscribed; and</w:t>
      </w:r>
    </w:p>
    <w:p>
      <w:pPr>
        <w:spacing w:after="0" w:line="64" w:lineRule="exact"/>
        <w:rPr>
          <w:rFonts w:ascii="Times New Roman" w:cs="Times New Roman" w:eastAsia="Times New Roman" w:hAnsi="Times New Roman"/>
          <w:sz w:val="14"/>
          <w:szCs w:val="14"/>
          <w:color w:val="auto"/>
        </w:rPr>
      </w:pPr>
    </w:p>
    <w:p>
      <w:pPr>
        <w:ind w:left="1080" w:right="439" w:hanging="321"/>
        <w:spacing w:after="0" w:line="263" w:lineRule="auto"/>
        <w:tabs>
          <w:tab w:leader="none" w:pos="1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us in connection with the offering of subscription rights.</w:t>
      </w:r>
    </w:p>
    <w:p>
      <w:pPr>
        <w:spacing w:after="0" w:line="136" w:lineRule="exact"/>
        <w:rPr>
          <w:sz w:val="20"/>
          <w:szCs w:val="20"/>
          <w:color w:val="auto"/>
        </w:rPr>
      </w:pPr>
    </w:p>
    <w:p>
      <w:pPr>
        <w:jc w:val="both"/>
        <w:ind w:left="360" w:right="439" w:firstLine="332"/>
        <w:spacing w:after="0" w:line="253"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5"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04710" cy="32385"/>
                    </a:xfrm>
                    <a:prstGeom prst="rect">
                      <a:avLst/>
                    </a:prstGeom>
                    <a:noFill/>
                  </pic:spPr>
                </pic:pic>
              </a:graphicData>
            </a:graphic>
          </wp:anchor>
        </w:drawing>
        <w:t>DESCRIPTION OF UNITS</w:t>
      </w:r>
    </w:p>
    <w:p>
      <w:pPr>
        <w:spacing w:after="0" w:line="169" w:lineRule="exact"/>
        <w:rPr>
          <w:sz w:val="20"/>
          <w:szCs w:val="20"/>
          <w:color w:val="auto"/>
        </w:rPr>
      </w:pPr>
    </w:p>
    <w:p>
      <w:pPr>
        <w:ind w:left="360" w:right="519" w:firstLine="332"/>
        <w:spacing w:after="0" w:line="249" w:lineRule="auto"/>
        <w:rPr>
          <w:sz w:val="20"/>
          <w:szCs w:val="20"/>
          <w:color w:val="auto"/>
        </w:rPr>
      </w:pPr>
      <w:r>
        <w:rPr>
          <w:rFonts w:ascii="Times New Roman" w:cs="Times New Roman" w:eastAsia="Times New Roman" w:hAnsi="Times New Roman"/>
          <w:sz w:val="14"/>
          <w:szCs w:val="14"/>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5"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LEGAL MATTERS</w:t>
      </w:r>
    </w:p>
    <w:p>
      <w:pPr>
        <w:spacing w:after="0" w:line="169" w:lineRule="exact"/>
        <w:rPr>
          <w:sz w:val="20"/>
          <w:szCs w:val="20"/>
          <w:color w:val="auto"/>
        </w:rPr>
      </w:pPr>
    </w:p>
    <w:p>
      <w:pPr>
        <w:ind w:left="360" w:right="399" w:firstLine="332"/>
        <w:spacing w:after="0" w:line="249" w:lineRule="auto"/>
        <w:rPr>
          <w:sz w:val="20"/>
          <w:szCs w:val="20"/>
          <w:color w:val="auto"/>
        </w:rPr>
      </w:pPr>
      <w:r>
        <w:rPr>
          <w:rFonts w:ascii="Times New Roman" w:cs="Times New Roman" w:eastAsia="Times New Roman" w:hAnsi="Times New Roman"/>
          <w:sz w:val="14"/>
          <w:szCs w:val="14"/>
          <w:color w:val="auto"/>
        </w:rPr>
        <w:t>The validity of the securities being offered by this prospectus will be passed upon by Morgan, Lewis &amp; Bockius LLP, Pittsburgh, Pennsylvania. In connection with particular offerings of the securities in the future, and if stated in the applicable prospectus supplement, the validity of those securities may be passed upon for us by Morgan, Lewis &amp; Bockius LLP, Pittsburgh, Pennsylvania, and for any underwriters or agents by counsel named in the applicable prospectus supplement.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5"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EXPERTS</w:t>
      </w:r>
    </w:p>
    <w:p>
      <w:pPr>
        <w:spacing w:after="0" w:line="169" w:lineRule="exact"/>
        <w:rPr>
          <w:sz w:val="20"/>
          <w:szCs w:val="20"/>
          <w:color w:val="auto"/>
        </w:rPr>
      </w:pPr>
    </w:p>
    <w:p>
      <w:pPr>
        <w:ind w:left="360" w:right="459" w:firstLine="332"/>
        <w:spacing w:after="0" w:line="246" w:lineRule="auto"/>
        <w:rPr>
          <w:sz w:val="20"/>
          <w:szCs w:val="20"/>
          <w:color w:val="auto"/>
        </w:rPr>
      </w:pPr>
      <w:r>
        <w:rPr>
          <w:rFonts w:ascii="Times New Roman" w:cs="Times New Roman" w:eastAsia="Times New Roman" w:hAnsi="Times New Roman"/>
          <w:sz w:val="14"/>
          <w:szCs w:val="14"/>
          <w:color w:val="auto"/>
        </w:rPr>
        <w:t>The consolidated financial statements of L.B. Foster Company and subsidiaries appearing in L.B. Foster Company’s Annual Report (Form 10-K) for the year ended December 31, 2025, and the effectiveness of L.B. Foster Company and subsidiaries’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5"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204710" cy="32385"/>
                    </a:xfrm>
                    <a:prstGeom prst="rect">
                      <a:avLst/>
                    </a:prstGeom>
                    <a:noFill/>
                  </pic:spPr>
                </pic:pic>
              </a:graphicData>
            </a:graphic>
          </wp:anchor>
        </w:drawing>
        <w:t>PART II</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85" w:lineRule="exact"/>
        <w:rPr>
          <w:sz w:val="20"/>
          <w:szCs w:val="20"/>
          <w:color w:val="auto"/>
        </w:rPr>
      </w:pPr>
    </w:p>
    <w:p>
      <w:pPr>
        <w:ind w:left="3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following table sets forth the estimated expenses in connection with the issuance and sale of the securities being registered hereby.</w:t>
      </w:r>
    </w:p>
    <w:p>
      <w:pPr>
        <w:spacing w:after="0" w:line="198" w:lineRule="exact"/>
        <w:rPr>
          <w:sz w:val="20"/>
          <w:szCs w:val="20"/>
          <w:color w:val="auto"/>
        </w:rPr>
      </w:pPr>
    </w:p>
    <w:tbl>
      <w:tblPr>
        <w:tblLayout w:type="fixed"/>
        <w:tblInd w:w="16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15,660</w:t>
            </w: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0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Trustee and Depositary fees and expenses</w:t>
            </w:r>
          </w:p>
        </w:tc>
        <w:tc>
          <w:tcPr>
            <w:tcW w:w="10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Blue Sky fees and expenses</w:t>
            </w:r>
          </w:p>
        </w:tc>
        <w:tc>
          <w:tcPr>
            <w:tcW w:w="10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Listing fees and expenses</w:t>
            </w:r>
          </w:p>
        </w:tc>
        <w:tc>
          <w:tcPr>
            <w:tcW w:w="10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5"/>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179705</wp:posOffset>
            </wp:positionV>
            <wp:extent cx="57531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75310" cy="6350"/>
                    </a:xfrm>
                    <a:prstGeom prst="rect">
                      <a:avLst/>
                    </a:prstGeom>
                    <a:noFill/>
                  </pic:spPr>
                </pic:pic>
              </a:graphicData>
            </a:graphic>
          </wp:anchor>
        </w:drawing>
      </w:r>
    </w:p>
    <w:p>
      <w:pPr>
        <w:spacing w:after="0" w:line="281" w:lineRule="exact"/>
        <w:rPr>
          <w:sz w:val="20"/>
          <w:szCs w:val="20"/>
          <w:color w:val="auto"/>
        </w:rPr>
      </w:pPr>
    </w:p>
    <w:p>
      <w:pPr>
        <w:jc w:val="both"/>
        <w:ind w:left="680" w:right="419" w:hanging="328"/>
        <w:spacing w:after="0" w:line="347" w:lineRule="auto"/>
        <w:tabs>
          <w:tab w:leader="none" w:pos="6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fees are calculated based on the number of issuances and amount of securities offered and accordingly cannot be estimated at this time. The applicable prospectus supplement will set forth the estimated aggregate amount of expenses payable by us in respect of any offering of securities.</w:t>
      </w:r>
    </w:p>
    <w:p>
      <w:pPr>
        <w:spacing w:after="0" w:line="197" w:lineRule="exact"/>
        <w:rPr>
          <w:sz w:val="20"/>
          <w:szCs w:val="20"/>
          <w:color w:val="auto"/>
        </w:rPr>
      </w:pPr>
    </w:p>
    <w:p>
      <w:pPr>
        <w:ind w:left="3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87" w:lineRule="exact"/>
        <w:rPr>
          <w:sz w:val="20"/>
          <w:szCs w:val="20"/>
          <w:color w:val="auto"/>
        </w:rPr>
      </w:pPr>
    </w:p>
    <w:p>
      <w:pPr>
        <w:ind w:left="360" w:right="379" w:firstLine="332"/>
        <w:spacing w:after="0" w:line="289" w:lineRule="auto"/>
        <w:rPr>
          <w:sz w:val="20"/>
          <w:szCs w:val="20"/>
          <w:color w:val="auto"/>
        </w:rPr>
      </w:pPr>
      <w:r>
        <w:rPr>
          <w:rFonts w:ascii="Times New Roman" w:cs="Times New Roman" w:eastAsia="Times New Roman" w:hAnsi="Times New Roman"/>
          <w:sz w:val="12"/>
          <w:szCs w:val="12"/>
          <w:color w:val="auto"/>
        </w:rPr>
        <w:t>The Company is incorporated under the laws of the Commonwealth of Pennsylvania. Under Sections 1741 and 1742 of the Pennsylvania Business Corporation Law, as amended (the “PBCL”), unless otherwise provided for in the bylaws, a business corporation has the power to indemnify any person who was or is a party, or is threatened to be made a party, to any threatened, pending or completed action or proceeding, whether civil, criminal, administrative or investigative, by reason of the fact that such person is or was a director, officer or representative of the corporation, or is or was serving at the request of the corporation as a director, officer or representative of another corporation or other enterprise, against expenses (including attorneys’ fees), judgments, fines and amounts paid in settlement actually and reasonably incurred by such person in connection with such action or proceeding, if such person acted in good faith and in a manner he or she reasonably believed to be in, or not opposed to, the best interests of the corporation, and, with respect to any criminal proceeding, had no reasonable cause to believe his or her conduct was unlawful. In the case of a threatened, pending or completed action or proceeding by or in the right of the corporation, such indemnification only covers expenses and excludes judgments and amounts paid in settlement with respect to such action or proceeding, and no indemnification can be made for expenses if such person has been adjudged to be liable to the corporation unless, and only to the extent that, a court determines upon application that, despite the adjudication of liability but in view of all the circumstances, such person is fairly and reasonably entitled to indemnity for the expenses that the court deems proper.</w:t>
      </w:r>
    </w:p>
    <w:p>
      <w:pPr>
        <w:spacing w:after="0" w:line="289" w:lineRule="exact"/>
        <w:rPr>
          <w:sz w:val="20"/>
          <w:szCs w:val="20"/>
          <w:color w:val="auto"/>
        </w:rPr>
      </w:pPr>
    </w:p>
    <w:p>
      <w:pPr>
        <w:ind w:left="360" w:right="499" w:firstLine="332"/>
        <w:spacing w:after="0" w:line="253" w:lineRule="auto"/>
        <w:rPr>
          <w:sz w:val="20"/>
          <w:szCs w:val="20"/>
          <w:color w:val="auto"/>
        </w:rPr>
      </w:pPr>
      <w:r>
        <w:rPr>
          <w:rFonts w:ascii="Times New Roman" w:cs="Times New Roman" w:eastAsia="Times New Roman" w:hAnsi="Times New Roman"/>
          <w:sz w:val="14"/>
          <w:szCs w:val="14"/>
          <w:color w:val="auto"/>
        </w:rPr>
        <w:t>In addition, PBCL Section 1744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61" w:lineRule="exact"/>
        <w:rPr>
          <w:sz w:val="20"/>
          <w:szCs w:val="20"/>
          <w:color w:val="auto"/>
        </w:rPr>
      </w:pPr>
    </w:p>
    <w:p>
      <w:pPr>
        <w:ind w:left="880" w:hanging="196"/>
        <w:spacing w:after="0"/>
        <w:tabs>
          <w:tab w:leader="none" w:pos="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board of directors by a majority vote of a quorum consisting of directors who were not parties to the action or proceeding;</w:t>
      </w:r>
    </w:p>
    <w:p>
      <w:pPr>
        <w:spacing w:after="0" w:line="83" w:lineRule="exact"/>
        <w:rPr>
          <w:rFonts w:ascii="Times New Roman" w:cs="Times New Roman" w:eastAsia="Times New Roman" w:hAnsi="Times New Roman"/>
          <w:sz w:val="14"/>
          <w:szCs w:val="14"/>
          <w:color w:val="auto"/>
        </w:rPr>
      </w:pPr>
    </w:p>
    <w:p>
      <w:pPr>
        <w:ind w:left="680" w:right="499" w:firstLine="4"/>
        <w:spacing w:after="0" w:line="263" w:lineRule="auto"/>
        <w:tabs>
          <w:tab w:leader="none" w:pos="8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a quorum is not obtainable, or if obtainable and a majority vote of a quorum of disinterested directors so directs, by independent legal counsel in a written opinion;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5" w:right="1440" w:bottom="1440" w:gutter="0" w:footer="0" w:header="0"/>
        </w:sectPr>
      </w:pPr>
    </w:p>
    <w:bookmarkStart w:id="31" w:name="page32"/>
    <w:bookmarkEnd w:id="31"/>
    <w:p>
      <w:pPr>
        <w:ind w:left="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(3) by the shareholders.</w:t>
      </w:r>
    </w:p>
    <w:p>
      <w:pPr>
        <w:spacing w:after="0" w:line="165" w:lineRule="exact"/>
        <w:rPr>
          <w:sz w:val="20"/>
          <w:szCs w:val="20"/>
          <w:color w:val="auto"/>
        </w:rPr>
      </w:pPr>
    </w:p>
    <w:p>
      <w:pPr>
        <w:ind w:left="360" w:right="459" w:firstLine="332"/>
        <w:spacing w:after="0" w:line="249" w:lineRule="auto"/>
        <w:rPr>
          <w:sz w:val="20"/>
          <w:szCs w:val="20"/>
          <w:color w:val="auto"/>
        </w:rPr>
      </w:pPr>
      <w:r>
        <w:rPr>
          <w:rFonts w:ascii="Times New Roman" w:cs="Times New Roman" w:eastAsia="Times New Roman" w:hAnsi="Times New Roman"/>
          <w:sz w:val="14"/>
          <w:szCs w:val="14"/>
          <w:color w:val="auto"/>
        </w:rPr>
        <w:t>Notwithstanding the above, PBCL Section 1743 provides that to the extent that a present or former director or officer of a business corporation is successful on the merits or otherwise in defense of any action or proceeding referred to above, or in defense of any claim, issue or matter therein, the director or officer shall be indemnified against expenses (including attorneys’ fees) actually and reasonably incurred by the director or officer in connection therewith.</w:t>
      </w:r>
    </w:p>
    <w:p>
      <w:pPr>
        <w:spacing w:after="0" w:line="146" w:lineRule="exact"/>
        <w:rPr>
          <w:sz w:val="20"/>
          <w:szCs w:val="20"/>
          <w:color w:val="auto"/>
        </w:rPr>
      </w:pPr>
    </w:p>
    <w:p>
      <w:pPr>
        <w:ind w:left="360" w:right="419" w:firstLine="332"/>
        <w:spacing w:after="0" w:line="249" w:lineRule="auto"/>
        <w:rPr>
          <w:sz w:val="20"/>
          <w:szCs w:val="20"/>
          <w:color w:val="auto"/>
        </w:rPr>
      </w:pPr>
      <w:r>
        <w:rPr>
          <w:rFonts w:ascii="Times New Roman" w:cs="Times New Roman" w:eastAsia="Times New Roman" w:hAnsi="Times New Roman"/>
          <w:sz w:val="14"/>
          <w:szCs w:val="14"/>
          <w:color w:val="auto"/>
        </w:rPr>
        <w:t>Further, PBCL Section 1745 provides that expenses (including attorneys’ fees) incurred by an officer, director or representative of a business corporation in defending any such action or proceeding may be paid by the corporation in advance of the final disposition of the action or proceeding upon receipt of an undertaking by or on behalf of such officer, director or representative to repay the amount advanced if it is ultimately determined that the indemnitee is not entitled to be indemnified by the corporation.</w:t>
      </w:r>
    </w:p>
    <w:p>
      <w:pPr>
        <w:spacing w:after="0" w:line="146" w:lineRule="exact"/>
        <w:rPr>
          <w:sz w:val="20"/>
          <w:szCs w:val="20"/>
          <w:color w:val="auto"/>
        </w:rPr>
      </w:pPr>
    </w:p>
    <w:p>
      <w:pPr>
        <w:ind w:left="360" w:right="419" w:firstLine="332"/>
        <w:spacing w:after="0" w:line="293" w:lineRule="auto"/>
        <w:rPr>
          <w:sz w:val="20"/>
          <w:szCs w:val="20"/>
          <w:color w:val="auto"/>
        </w:rPr>
      </w:pPr>
      <w:r>
        <w:rPr>
          <w:rFonts w:ascii="Times New Roman" w:cs="Times New Roman" w:eastAsia="Times New Roman" w:hAnsi="Times New Roman"/>
          <w:sz w:val="12"/>
          <w:szCs w:val="12"/>
          <w:color w:val="auto"/>
        </w:rPr>
        <w:t>Also, PBCL Section 1746 provides that the indemnification and advancement of expenses provided by, or granted pursuant to, the foregoing provisions is not exclusive of any other rights to which a person seeking indemnification or advancement of expenses may be entitled under any bylaw, agreement, vote of shareholders or disinterested directors or otherwise, and that indemnification may be granted under any bylaw, agreement, vote of shareholders or directors or otherwise for any action taken or any failure to take any action and may be made whether or not the corporation would have the power to indemnify the person under any other provision of law and whether or not the indemnified liability arises or arose from any threatened, pending or completed action by or in the right of the corporation; provided, however, that no indemnification may be made in any case where the act or failure to act giving rise to the claim for indemnification is determined by a court to have constituted willful misconduct or recklessness.</w:t>
      </w:r>
    </w:p>
    <w:p>
      <w:pPr>
        <w:spacing w:after="0" w:line="123" w:lineRule="exact"/>
        <w:rPr>
          <w:sz w:val="20"/>
          <w:szCs w:val="20"/>
          <w:color w:val="auto"/>
        </w:rPr>
      </w:pPr>
    </w:p>
    <w:p>
      <w:pPr>
        <w:ind w:left="360" w:right="399" w:firstLine="332"/>
        <w:spacing w:after="0" w:line="263" w:lineRule="auto"/>
        <w:rPr>
          <w:sz w:val="20"/>
          <w:szCs w:val="20"/>
          <w:color w:val="auto"/>
        </w:rPr>
      </w:pPr>
      <w:r>
        <w:rPr>
          <w:rFonts w:ascii="Times New Roman" w:cs="Times New Roman" w:eastAsia="Times New Roman" w:hAnsi="Times New Roman"/>
          <w:sz w:val="14"/>
          <w:szCs w:val="14"/>
          <w:color w:val="auto"/>
        </w:rPr>
        <w:t>Further, PBCL Section 1749 extends the indemnification and advancement of expenses provisions contained in Subchapter D of Chapter 17 of the PBCL to representatives of the business corporation serving as fiduciaries of employee benefit plans.</w:t>
      </w:r>
    </w:p>
    <w:p>
      <w:pPr>
        <w:spacing w:after="0" w:line="136" w:lineRule="exact"/>
        <w:rPr>
          <w:sz w:val="20"/>
          <w:szCs w:val="20"/>
          <w:color w:val="auto"/>
        </w:rPr>
      </w:pPr>
    </w:p>
    <w:p>
      <w:pPr>
        <w:jc w:val="both"/>
        <w:ind w:left="360" w:right="559" w:firstLine="332"/>
        <w:spacing w:after="0" w:line="253" w:lineRule="auto"/>
        <w:rPr>
          <w:sz w:val="20"/>
          <w:szCs w:val="20"/>
          <w:color w:val="auto"/>
        </w:rPr>
      </w:pPr>
      <w:r>
        <w:rPr>
          <w:rFonts w:ascii="Times New Roman" w:cs="Times New Roman" w:eastAsia="Times New Roman" w:hAnsi="Times New Roman"/>
          <w:sz w:val="14"/>
          <w:szCs w:val="14"/>
          <w:color w:val="auto"/>
        </w:rPr>
        <w:t>Section 1750 provides that the indemnification and advancement of expenses pursuant to Subchapter D of Chapter 17 of the PBCL will, unless otherwise provided when authorized or ratified, continue as to a person who has ceased to be a representative of the corporation and shall inure to the benefit of the heirs and personal representative of that person.</w:t>
      </w:r>
    </w:p>
    <w:p>
      <w:pPr>
        <w:spacing w:after="0" w:line="142" w:lineRule="exact"/>
        <w:rPr>
          <w:sz w:val="20"/>
          <w:szCs w:val="20"/>
          <w:color w:val="auto"/>
        </w:rPr>
      </w:pPr>
    </w:p>
    <w:p>
      <w:pPr>
        <w:ind w:left="360" w:right="379" w:firstLine="332"/>
        <w:spacing w:after="0" w:line="245" w:lineRule="auto"/>
        <w:rPr>
          <w:sz w:val="20"/>
          <w:szCs w:val="20"/>
          <w:color w:val="auto"/>
        </w:rPr>
      </w:pPr>
      <w:r>
        <w:rPr>
          <w:rFonts w:ascii="Times New Roman" w:cs="Times New Roman" w:eastAsia="Times New Roman" w:hAnsi="Times New Roman"/>
          <w:sz w:val="14"/>
          <w:szCs w:val="14"/>
          <w:color w:val="auto"/>
        </w:rPr>
        <w:t>The Amended and Restated Bylaws of the Company (the “Bylaws”) provide for indemnification, to the fullest extent permitted by Pennsylvania law, for directors and officers against all expense, liability and loss (including attorneys’ fees, judgments, fines, taxes, penalties and amounts paid or to be paid in settlement) reasonably incurred or suffered by such person arising out of or related to such person’s service as a director or officer of the Company, or such person’s service at the request or for the benefit of the Company as a director, officer, employee, agent, partner or fiduciary of another corporation or of any limited liability company, partnership, joint venture, trust, employee benefit plan or other entity. The Bylaws further provide that the Company may, by action of its Board of Directors, indemnify employees and other persons and advance expenses to such persons to the same extent as provided for indemnitees under the Bylaws. In addition, to the extent required by Pennsylvania law, the Company is required to indemnify any employee or agent who has been successful on the merits or otherwise in the defense of any proceeding, claim, issue or matter against expenses, including attorneys’ fees, actually and reasonably incurred in connection therewith.</w:t>
      </w:r>
    </w:p>
    <w:p>
      <w:pPr>
        <w:spacing w:after="0" w:line="149" w:lineRule="exact"/>
        <w:rPr>
          <w:sz w:val="20"/>
          <w:szCs w:val="20"/>
          <w:color w:val="auto"/>
        </w:rPr>
      </w:pPr>
    </w:p>
    <w:p>
      <w:pPr>
        <w:ind w:left="360" w:right="419" w:firstLine="332"/>
        <w:spacing w:after="0" w:line="253" w:lineRule="auto"/>
        <w:rPr>
          <w:sz w:val="20"/>
          <w:szCs w:val="20"/>
          <w:color w:val="auto"/>
        </w:rPr>
      </w:pPr>
      <w:r>
        <w:rPr>
          <w:rFonts w:ascii="Times New Roman" w:cs="Times New Roman" w:eastAsia="Times New Roman" w:hAnsi="Times New Roman"/>
          <w:sz w:val="14"/>
          <w:szCs w:val="14"/>
          <w:color w:val="auto"/>
        </w:rPr>
        <w:t>The Bylaws also require the advancement of expenses incurred by an indemnitee in connection with an indemnified matter in advance of the final disposition of such indemnified matter upon receipt of an undertaking by or on behalf of such person to repay such amount, without interest, if it shall ultimately be determined that such person is not entitled to be indemnified pursuant to the Bylaws.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39" w:right="1440" w:bottom="1440" w:gutter="0" w:footer="0" w:header="0"/>
        </w:sectPr>
      </w:pPr>
    </w:p>
    <w:bookmarkStart w:id="32" w:name="page33"/>
    <w:bookmarkEnd w:id="32"/>
    <w:p>
      <w:pPr>
        <w:jc w:val="both"/>
        <w:ind w:left="360" w:right="439" w:firstLine="332"/>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Bylaws do not provide for indemnification where the act or failure to act giving rise to the claim for indemnification is determined by a court to have constituted willful misconduct or recklessness or, subject to certain exceptions, in connection with a proceeding initiated by the person seeking indemnification unless such proceeding was authorized by the Board of Directors of the Company.</w:t>
      </w:r>
    </w:p>
    <w:p>
      <w:pPr>
        <w:spacing w:after="0" w:line="142" w:lineRule="exact"/>
        <w:rPr>
          <w:sz w:val="20"/>
          <w:szCs w:val="20"/>
          <w:color w:val="auto"/>
        </w:rPr>
      </w:pPr>
    </w:p>
    <w:p>
      <w:pPr>
        <w:ind w:left="360" w:right="439" w:firstLine="332"/>
        <w:spacing w:after="0" w:line="253" w:lineRule="auto"/>
        <w:rPr>
          <w:sz w:val="20"/>
          <w:szCs w:val="20"/>
          <w:color w:val="auto"/>
        </w:rPr>
      </w:pPr>
      <w:r>
        <w:rPr>
          <w:rFonts w:ascii="Times New Roman" w:cs="Times New Roman" w:eastAsia="Times New Roman" w:hAnsi="Times New Roman"/>
          <w:sz w:val="14"/>
          <w:szCs w:val="14"/>
          <w:color w:val="auto"/>
        </w:rPr>
        <w:t>The indemnification provided by the Bylaws shall not be deemed exclusive of any other rights to which a person seeking indemnification may be entitled under any statute, provision of the Articles of Incorporation of the Company, the Bylaws, agreement, vote of shareholders or directors or otherwise.</w:t>
      </w:r>
    </w:p>
    <w:p>
      <w:pPr>
        <w:spacing w:after="0" w:line="142" w:lineRule="exact"/>
        <w:rPr>
          <w:sz w:val="20"/>
          <w:szCs w:val="20"/>
          <w:color w:val="auto"/>
        </w:rPr>
      </w:pPr>
    </w:p>
    <w:p>
      <w:pPr>
        <w:ind w:left="360" w:right="439" w:firstLine="332"/>
        <w:spacing w:after="0" w:line="247" w:lineRule="auto"/>
        <w:rPr>
          <w:sz w:val="20"/>
          <w:szCs w:val="20"/>
          <w:color w:val="auto"/>
        </w:rPr>
      </w:pPr>
      <w:r>
        <w:rPr>
          <w:rFonts w:ascii="Times New Roman" w:cs="Times New Roman" w:eastAsia="Times New Roman" w:hAnsi="Times New Roman"/>
          <w:sz w:val="14"/>
          <w:szCs w:val="14"/>
          <w:color w:val="auto"/>
        </w:rPr>
        <w:t>The Bylaws provide that the Company may purchase and maintain insurance, at its expense, for the benefit of any person against any expense, liability or loss, whether or not the Company would have the power to indemnify such person under the PBCL or other applicable law. The Bylaws also provide that the Company may purchase and maintain insurance to insure its indemnification obligations, whether arising under the Bylaws or otherwise. As permitted by PBCL Section 1747 and the Bylaws, the Company maintains insurance policies insuring directors and officers against certain liabilities they may incur in their capacity as such.</w:t>
      </w:r>
    </w:p>
    <w:p>
      <w:pPr>
        <w:spacing w:after="0" w:line="148" w:lineRule="exact"/>
        <w:rPr>
          <w:sz w:val="20"/>
          <w:szCs w:val="20"/>
          <w:color w:val="auto"/>
        </w:rPr>
      </w:pPr>
    </w:p>
    <w:p>
      <w:pPr>
        <w:ind w:left="360" w:right="379" w:firstLine="332"/>
        <w:spacing w:after="0" w:line="244" w:lineRule="auto"/>
        <w:rPr>
          <w:sz w:val="20"/>
          <w:szCs w:val="20"/>
          <w:color w:val="auto"/>
        </w:rPr>
      </w:pPr>
      <w:r>
        <w:rPr>
          <w:rFonts w:ascii="Times New Roman" w:cs="Times New Roman" w:eastAsia="Times New Roman" w:hAnsi="Times New Roman"/>
          <w:sz w:val="14"/>
          <w:szCs w:val="14"/>
          <w:color w:val="auto"/>
        </w:rPr>
        <w:t>As permitted by Section 1713(a) of the PBCL, the Bylaws provide that no director shall be personally liable, as such, for monetary damages for any action taken, or failure to take any action, unless (i) the director has breached or failed to perform the duties of his or her office under Subchapter B of Chapter 17 of the PBCL (or any successor statute); and (ii) the breach or failure to perform constitutes self-dealing, willful misconduct or recklessness. Section 1713(b) of the PBCL states that this exculpation from liability does not apply to the responsibility or liability of a director pursuant to any criminal statute or the liability of a director for the payment of taxes pursuant to federal, state or local law. It is uncertain whether this provision will control with respect to liabilities imposed upon directors by federal law, including federal securities laws. Section 1715(d) of the PBCL creates a presumption, subject to exceptions, that a director acted in the best interests of the corporation. Section 1712 of the PBCL, in defining the standard of care a director owes to the corporation, provides that a director stands in a fiduciary relation to the corporation and must perform his or her duties as a director or as a member of any committee of the board of directors in good faith, in a manner he or she reasonably believes to be in the best interests of the corporation and with such care, including reasonable inquiry, skill and diligence, as a person of ordinary prudence would use under similar circumstances.</w:t>
      </w:r>
    </w:p>
    <w:p>
      <w:pPr>
        <w:spacing w:after="0" w:line="153" w:lineRule="exact"/>
        <w:rPr>
          <w:sz w:val="20"/>
          <w:szCs w:val="20"/>
          <w:color w:val="auto"/>
        </w:rPr>
      </w:pPr>
    </w:p>
    <w:p>
      <w:pPr>
        <w:ind w:left="360" w:right="379" w:firstLine="332"/>
        <w:spacing w:after="0" w:line="253" w:lineRule="auto"/>
        <w:rPr>
          <w:sz w:val="20"/>
          <w:szCs w:val="20"/>
          <w:color w:val="auto"/>
        </w:rPr>
      </w:pPr>
      <w:r>
        <w:rPr>
          <w:rFonts w:ascii="Times New Roman" w:cs="Times New Roman" w:eastAsia="Times New Roman" w:hAnsi="Times New Roman"/>
          <w:sz w:val="14"/>
          <w:szCs w:val="14"/>
          <w:color w:val="auto"/>
        </w:rPr>
        <w:t>The foregoing is only a general summary of certain aspects of the PBCL and the Bylaws dealing with indemnification of directors and officers and does not purport to be complete. It is qualified in its entirety by reference to the detailed provisions of Subchapter D of Chapter 17 of the PBCL, the Company’s Articles of Incorporation and the Bylaws.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39" w:right="1440" w:bottom="1440" w:gutter="0" w:footer="0" w:header="0"/>
        </w:sectPr>
      </w:pPr>
    </w:p>
    <w:bookmarkStart w:id="33" w:name="page34"/>
    <w:bookmarkEnd w:id="33"/>
    <w:tbl>
      <w:tblPr>
        <w:tblLayout w:type="fixed"/>
        <w:tblInd w:w="360" w:type="dxa"/>
        <w:tblCellMar>
          <w:top w:w="0" w:type="dxa"/>
          <w:left w:w="0" w:type="dxa"/>
          <w:bottom w:w="0" w:type="dxa"/>
          <w:right w:w="0" w:type="dxa"/>
        </w:tblCellMar>
      </w:tblPr>
      <w:tr>
        <w:trPr>
          <w:trHeight w:val="179"/>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75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1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LIST OF EXHIBITS</w:t>
            </w:r>
          </w:p>
        </w:tc>
        <w:tc>
          <w:tcPr>
            <w:tcW w:w="0" w:type="dxa"/>
            <w:vAlign w:val="bottom"/>
          </w:tcPr>
          <w:p>
            <w:pPr>
              <w:spacing w:after="0"/>
              <w:rPr>
                <w:sz w:val="1"/>
                <w:szCs w:val="1"/>
                <w:color w:val="auto"/>
              </w:rPr>
            </w:pPr>
          </w:p>
        </w:tc>
      </w:tr>
      <w:tr>
        <w:trPr>
          <w:trHeight w:val="277"/>
        </w:trPr>
        <w:tc>
          <w:tcPr>
            <w:tcW w:w="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54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131"/>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320" w:type="dxa"/>
            <w:vAlign w:val="bottom"/>
          </w:tcPr>
          <w:p>
            <w:pPr>
              <w:spacing w:after="0"/>
              <w:rPr>
                <w:sz w:val="11"/>
                <w:szCs w:val="11"/>
                <w:color w:val="auto"/>
              </w:rPr>
            </w:pPr>
          </w:p>
        </w:tc>
        <w:tc>
          <w:tcPr>
            <w:tcW w:w="754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w:t>
            </w:r>
          </w:p>
        </w:tc>
        <w:tc>
          <w:tcPr>
            <w:tcW w:w="75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Form of Underwriting Agreement for any offering of securities.</w:t>
            </w:r>
          </w:p>
        </w:tc>
        <w:tc>
          <w:tcPr>
            <w:tcW w:w="0" w:type="dxa"/>
            <w:vAlign w:val="bottom"/>
          </w:tcPr>
          <w:p>
            <w:pPr>
              <w:spacing w:after="0"/>
              <w:rPr>
                <w:sz w:val="1"/>
                <w:szCs w:val="1"/>
                <w:color w:val="auto"/>
              </w:rPr>
            </w:pPr>
          </w:p>
        </w:tc>
      </w:tr>
      <w:tr>
        <w:trPr>
          <w:trHeight w:val="214"/>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7540" w:type="dxa"/>
            <w:vAlign w:val="bottom"/>
            <w:gridSpan w:val="6"/>
          </w:tcPr>
          <w:p>
            <w:pPr>
              <w:spacing w:after="0"/>
              <w:rPr>
                <w:rFonts w:ascii="Times New Roman" w:cs="Times New Roman" w:eastAsia="Times New Roman" w:hAnsi="Times New Roman"/>
                <w:sz w:val="14"/>
                <w:szCs w:val="14"/>
                <w:color w:val="0000EE"/>
                <w:w w:val="97"/>
              </w:rPr>
            </w:pPr>
            <w:hyperlink r:id="rId67">
              <w:r>
                <w:rPr>
                  <w:rFonts w:ascii="Times New Roman" w:cs="Times New Roman" w:eastAsia="Times New Roman" w:hAnsi="Times New Roman"/>
                  <w:sz w:val="14"/>
                  <w:szCs w:val="14"/>
                  <w:color w:val="0000EE"/>
                  <w:w w:val="97"/>
                </w:rPr>
                <w:t>Restated Articles of Incorporation of the Company, incorporated by reference to Exhibit 3.1 to the Company’s Quarterly Report on Form</w:t>
              </w:r>
            </w:hyperlink>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20" w:type="dxa"/>
            <w:vAlign w:val="bottom"/>
            <w:tcBorders>
              <w:top w:val="single" w:sz="8" w:color="0000EE"/>
            </w:tcBorders>
            <w:gridSpan w:val="4"/>
          </w:tcPr>
          <w:p>
            <w:pPr>
              <w:spacing w:after="0" w:line="143"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10-Q for the quarter ended March 31, 2003, File No. 0-10436, filed on May 13, 2003.</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728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68">
              <w:r>
                <w:rPr>
                  <w:rFonts w:ascii="Times New Roman" w:cs="Times New Roman" w:eastAsia="Times New Roman" w:hAnsi="Times New Roman"/>
                  <w:sz w:val="14"/>
                  <w:szCs w:val="14"/>
                  <w:color w:val="0000EE"/>
                  <w:w w:val="96"/>
                </w:rPr>
                <w:t>Amended and Restated Bylaws of the Company, incorporated by reference to Exhibit 3.1 to the Company’s Quarterly Report on Form</w:t>
              </w:r>
            </w:hyperlink>
          </w:p>
        </w:tc>
        <w:tc>
          <w:tcPr>
            <w:tcW w:w="2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40" w:type="dxa"/>
            <w:vAlign w:val="bottom"/>
            <w:tcBorders>
              <w:bottom w:val="single" w:sz="8" w:color="0000EE"/>
            </w:tcBorders>
            <w:gridSpan w:val="2"/>
          </w:tcPr>
          <w:p>
            <w:pPr>
              <w:spacing w:after="0" w:line="143" w:lineRule="exact"/>
              <w:rPr>
                <w:rFonts w:ascii="Times New Roman" w:cs="Times New Roman" w:eastAsia="Times New Roman" w:hAnsi="Times New Roman"/>
                <w:sz w:val="14"/>
                <w:szCs w:val="14"/>
                <w:color w:val="0000EE"/>
                <w:w w:val="96"/>
              </w:rPr>
            </w:pPr>
            <w:hyperlink r:id="rId68">
              <w:r>
                <w:rPr>
                  <w:rFonts w:ascii="Times New Roman" w:cs="Times New Roman" w:eastAsia="Times New Roman" w:hAnsi="Times New Roman"/>
                  <w:sz w:val="14"/>
                  <w:szCs w:val="14"/>
                  <w:color w:val="0000EE"/>
                  <w:w w:val="96"/>
                </w:rPr>
                <w:t>10-Q for the quarter ended June 30, 2023, File No. 0-10436, filed on August 8, 2023.</w:t>
              </w:r>
            </w:hyperlink>
          </w:p>
        </w:tc>
        <w:tc>
          <w:tcPr>
            <w:tcW w:w="29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74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6"/>
              </w:rPr>
            </w:pPr>
            <w:hyperlink r:id="rId69">
              <w:r>
                <w:rPr>
                  <w:rFonts w:ascii="Times New Roman" w:cs="Times New Roman" w:eastAsia="Times New Roman" w:hAnsi="Times New Roman"/>
                  <w:sz w:val="14"/>
                  <w:szCs w:val="14"/>
                  <w:color w:val="0000EE"/>
                  <w:w w:val="96"/>
                </w:rPr>
                <w:t>Description of Capital Stock of L.B. Foster Company, incorporated by reference to Exhibit 4.1 to the Company’s Annual Report on Form</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540" w:type="dxa"/>
            <w:vAlign w:val="bottom"/>
            <w:gridSpan w:val="6"/>
          </w:tcPr>
          <w:p>
            <w:pPr>
              <w:spacing w:after="0" w:line="143"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10-K for the year ended December 31, 2025.</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ind w:left="420" w:hanging="68"/>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4.4*Form of Statement with Respect to Shares or other Articles of Amendment designating Preferred Stock.</w:t>
      </w:r>
    </w:p>
    <w:p>
      <w:pPr>
        <w:spacing w:after="0" w:line="106" w:lineRule="exact"/>
        <w:rPr>
          <w:rFonts w:ascii="Times New Roman" w:cs="Times New Roman" w:eastAsia="Times New Roman" w:hAnsi="Times New Roman"/>
          <w:sz w:val="12"/>
          <w:szCs w:val="12"/>
          <w:color w:val="auto"/>
        </w:rPr>
      </w:pPr>
    </w:p>
    <w:p>
      <w:pPr>
        <w:ind w:left="420" w:hanging="68"/>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4.5*Specimen Preferred Stock Certificate.</w:t>
      </w:r>
    </w:p>
    <w:p>
      <w:pPr>
        <w:spacing w:after="0" w:line="106" w:lineRule="exact"/>
        <w:rPr>
          <w:sz w:val="20"/>
          <w:szCs w:val="20"/>
          <w:color w:val="auto"/>
        </w:rPr>
      </w:pPr>
    </w:p>
    <w:p>
      <w:pPr>
        <w:ind w:left="360"/>
        <w:spacing w:after="0"/>
        <w:tabs>
          <w:tab w:leader="none" w:pos="1100" w:val="left"/>
        </w:tabs>
        <w:rPr>
          <w:sz w:val="20"/>
          <w:szCs w:val="20"/>
          <w:color w:val="auto"/>
        </w:rPr>
      </w:pPr>
      <w:r>
        <w:rPr>
          <w:rFonts w:ascii="Times New Roman" w:cs="Times New Roman" w:eastAsia="Times New Roman" w:hAnsi="Times New Roman"/>
          <w:sz w:val="14"/>
          <w:szCs w:val="14"/>
          <w:color w:val="auto"/>
        </w:rPr>
        <w:t>    4.6</w:t>
      </w:r>
      <w:r>
        <w:rPr>
          <w:sz w:val="20"/>
          <w:szCs w:val="20"/>
          <w:color w:val="auto"/>
        </w:rPr>
        <w:tab/>
      </w:r>
      <w:r>
        <w:rPr>
          <w:rFonts w:ascii="Times New Roman" w:cs="Times New Roman" w:eastAsia="Times New Roman" w:hAnsi="Times New Roman"/>
          <w:sz w:val="12"/>
          <w:szCs w:val="12"/>
          <w:u w:val="single" w:color="auto"/>
          <w:color w:val="0000EE"/>
        </w:rPr>
        <w:t>Form of Indenture.</w:t>
      </w:r>
    </w:p>
    <w:p>
      <w:pPr>
        <w:spacing w:after="0" w:line="83" w:lineRule="exact"/>
        <w:rPr>
          <w:sz w:val="20"/>
          <w:szCs w:val="20"/>
          <w:color w:val="auto"/>
        </w:rPr>
      </w:pPr>
    </w:p>
    <w:p>
      <w:pPr>
        <w:ind w:left="420" w:hanging="68"/>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4.7*Form of Debt Security.</w:t>
      </w:r>
    </w:p>
    <w:p>
      <w:pPr>
        <w:spacing w:after="0" w:line="106" w:lineRule="exact"/>
        <w:rPr>
          <w:rFonts w:ascii="Times New Roman" w:cs="Times New Roman" w:eastAsia="Times New Roman" w:hAnsi="Times New Roman"/>
          <w:sz w:val="12"/>
          <w:szCs w:val="12"/>
          <w:color w:val="auto"/>
        </w:rPr>
      </w:pPr>
    </w:p>
    <w:p>
      <w:pPr>
        <w:ind w:left="420" w:hanging="68"/>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4.9*Form of Warrant.</w:t>
      </w:r>
    </w:p>
    <w:p>
      <w:pPr>
        <w:spacing w:after="0" w:line="106" w:lineRule="exact"/>
        <w:rPr>
          <w:rFonts w:ascii="Times New Roman" w:cs="Times New Roman" w:eastAsia="Times New Roman" w:hAnsi="Times New Roman"/>
          <w:sz w:val="12"/>
          <w:szCs w:val="12"/>
          <w:color w:val="auto"/>
        </w:rPr>
      </w:pPr>
    </w:p>
    <w:p>
      <w:pPr>
        <w:ind w:left="420" w:hanging="68"/>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4.10*Form of Unit.</w:t>
      </w:r>
    </w:p>
    <w:p>
      <w:pPr>
        <w:spacing w:after="0" w:line="106" w:lineRule="exact"/>
        <w:rPr>
          <w:rFonts w:ascii="Times New Roman" w:cs="Times New Roman" w:eastAsia="Times New Roman" w:hAnsi="Times New Roman"/>
          <w:sz w:val="12"/>
          <w:szCs w:val="12"/>
          <w:color w:val="auto"/>
        </w:rPr>
      </w:pPr>
    </w:p>
    <w:p>
      <w:pPr>
        <w:ind w:left="420" w:hanging="68"/>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4.11*Form of Subscription Rights Certificate.</w:t>
      </w:r>
    </w:p>
    <w:p>
      <w:pPr>
        <w:spacing w:after="0" w:line="9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2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Opinion of Morgan, Lewis &amp; Bockius LLP.</w:t>
            </w:r>
          </w:p>
        </w:tc>
        <w:tc>
          <w:tcPr>
            <w:tcW w:w="4000" w:type="dxa"/>
            <w:vAlign w:val="bottom"/>
            <w:gridSpan w:val="3"/>
          </w:tcPr>
          <w:p>
            <w:pPr>
              <w:spacing w:after="0"/>
              <w:rPr>
                <w:sz w:val="13"/>
                <w:szCs w:val="13"/>
                <w:color w:val="auto"/>
              </w:rPr>
            </w:pPr>
          </w:p>
        </w:tc>
      </w:t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636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Consent of Morgan, Lewis &amp; Bockius LLP (included in Exhibit 5.1).</w:t>
            </w:r>
          </w:p>
        </w:tc>
      </w:t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2620" w:type="dxa"/>
            <w:vAlign w:val="bottom"/>
            <w:gridSpan w:val="2"/>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636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 of this Registration Statement).</w:t>
            </w:r>
          </w:p>
        </w:tc>
      </w:tr>
      <w:tr>
        <w:trPr>
          <w:trHeight w:val="20"/>
        </w:trPr>
        <w:tc>
          <w:tcPr>
            <w:tcW w:w="76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5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636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6"/>
              </w:rPr>
              <w:t>Form T-1 Statement of Eligibility of Trustee under the Trust Indenture Act of 1939, as amended, under the Indenture.</w:t>
            </w:r>
          </w:p>
        </w:tc>
      </w:tr>
    </w:tbl>
    <w:p>
      <w:pPr>
        <w:spacing w:after="0" w:line="69" w:lineRule="exact"/>
        <w:rPr>
          <w:sz w:val="20"/>
          <w:szCs w:val="20"/>
          <w:color w:val="auto"/>
        </w:rPr>
      </w:pPr>
    </w:p>
    <w:p>
      <w:pPr>
        <w:ind w:left="1120" w:hanging="768"/>
        <w:spacing w:after="0"/>
        <w:tabs>
          <w:tab w:leader="none" w:pos="1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85" w:lineRule="exact"/>
        <w:rPr>
          <w:sz w:val="20"/>
          <w:szCs w:val="20"/>
          <w:color w:val="auto"/>
        </w:rPr>
      </w:pPr>
    </w:p>
    <w:p>
      <w:pPr>
        <w:ind w:left="360" w:right="1279" w:hanging="8"/>
        <w:spacing w:after="0" w:line="347" w:lineRule="auto"/>
        <w:tabs>
          <w:tab w:leader="none" w:pos="686"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as an amendment or as an exhibit to a report or document to be incorporated by reference in this registration statement. ** To be filed, when appropriate, pursuant to Section 305(b)(2) of the Trust Indenture Act of 1939 and Rule 5b-3 thereunder.</w:t>
      </w:r>
    </w:p>
    <w:p>
      <w:pPr>
        <w:spacing w:after="0" w:line="197" w:lineRule="exact"/>
        <w:rPr>
          <w:sz w:val="20"/>
          <w:szCs w:val="20"/>
          <w:color w:val="auto"/>
        </w:rPr>
      </w:pPr>
    </w:p>
    <w:p>
      <w:pPr>
        <w:ind w:left="3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7" w:lineRule="exact"/>
        <w:rPr>
          <w:sz w:val="20"/>
          <w:szCs w:val="20"/>
          <w:color w:val="auto"/>
        </w:rPr>
      </w:pPr>
    </w:p>
    <w:p>
      <w:pPr>
        <w:ind w:left="680" w:hanging="328"/>
        <w:spacing w:after="0"/>
        <w:tabs>
          <w:tab w:leader="none" w:pos="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3" w:lineRule="exact"/>
        <w:rPr>
          <w:sz w:val="20"/>
          <w:szCs w:val="20"/>
          <w:color w:val="auto"/>
        </w:rPr>
      </w:pPr>
    </w:p>
    <w:p>
      <w:pPr>
        <w:ind w:left="680" w:hanging="328"/>
        <w:spacing w:after="0"/>
        <w:tabs>
          <w:tab w:leader="none" w:pos="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3" w:lineRule="exact"/>
        <w:rPr>
          <w:sz w:val="20"/>
          <w:szCs w:val="20"/>
          <w:color w:val="auto"/>
        </w:rPr>
      </w:pPr>
    </w:p>
    <w:p>
      <w:pPr>
        <w:ind w:left="4400" w:right="1799" w:hanging="4048"/>
        <w:spacing w:after="0" w:line="430" w:lineRule="auto"/>
        <w:tabs>
          <w:tab w:leader="none" w:pos="67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 II-4</w:t>
      </w:r>
    </w:p>
    <w:p>
      <w:pPr>
        <w:sectPr>
          <w:pgSz w:w="11900" w:h="16838" w:orient="portrait"/>
          <w:cols w:equalWidth="0" w:num="1">
            <w:col w:w="9019"/>
          </w:cols>
          <w:pgMar w:left="1440" w:top="235" w:right="1440" w:bottom="1440" w:gutter="0" w:footer="0" w:header="0"/>
        </w:sectPr>
      </w:pPr>
    </w:p>
    <w:bookmarkStart w:id="34" w:name="page35"/>
    <w:bookmarkEnd w:id="34"/>
    <w:p>
      <w:pPr>
        <w:ind w:left="680" w:right="579" w:hanging="328"/>
        <w:spacing w:after="0" w:line="246" w:lineRule="auto"/>
        <w:tabs>
          <w:tab w:leader="none" w:pos="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 attached as an exhibit to the effective registration statement; and</w:t>
      </w:r>
    </w:p>
    <w:p>
      <w:pPr>
        <w:spacing w:after="0" w:line="76" w:lineRule="exact"/>
        <w:rPr>
          <w:rFonts w:ascii="Times New Roman" w:cs="Times New Roman" w:eastAsia="Times New Roman" w:hAnsi="Times New Roman"/>
          <w:sz w:val="14"/>
          <w:szCs w:val="14"/>
          <w:color w:val="auto"/>
        </w:rPr>
      </w:pPr>
    </w:p>
    <w:p>
      <w:pPr>
        <w:ind w:left="680" w:right="519" w:hanging="328"/>
        <w:spacing w:after="0" w:line="263" w:lineRule="auto"/>
        <w:tabs>
          <w:tab w:leader="none" w:pos="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100" w:right="419"/>
        <w:spacing w:after="0" w:line="24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(1)(a)(i), (1)(a)(ii) and (1)(a)(iii) of this section do not apply if the information required to be included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 post-effective amendment by those paragraphs is contained in reports filed with or furnished to the Commission by the registrant pursuant to Section 13 or Section 15(d) of the Securities Exchange Act of 1934 (the “Exchange Act”) that are incorporated by reference in the registration statement, or is contained in a form of prospectus filed pursuant to Rule 424(b) (17 C.F.R. § 230.424(b)) that is part of the registration statement.</w:t>
      </w:r>
    </w:p>
    <w:p>
      <w:pPr>
        <w:spacing w:after="0" w:line="76" w:lineRule="exact"/>
        <w:rPr>
          <w:sz w:val="20"/>
          <w:szCs w:val="20"/>
          <w:color w:val="auto"/>
        </w:rPr>
      </w:pPr>
    </w:p>
    <w:p>
      <w:pPr>
        <w:ind w:left="680" w:right="379" w:hanging="328"/>
        <w:spacing w:after="0" w:line="253" w:lineRule="auto"/>
        <w:tabs>
          <w:tab w:leader="none" w:pos="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70" w:lineRule="exact"/>
        <w:rPr>
          <w:rFonts w:ascii="Times New Roman" w:cs="Times New Roman" w:eastAsia="Times New Roman" w:hAnsi="Times New Roman"/>
          <w:sz w:val="14"/>
          <w:szCs w:val="14"/>
          <w:color w:val="auto"/>
        </w:rPr>
      </w:pPr>
    </w:p>
    <w:p>
      <w:pPr>
        <w:ind w:left="680" w:right="379" w:hanging="328"/>
        <w:spacing w:after="0" w:line="263" w:lineRule="auto"/>
        <w:tabs>
          <w:tab w:leader="none" w:pos="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4" w:lineRule="exact"/>
        <w:rPr>
          <w:rFonts w:ascii="Times New Roman" w:cs="Times New Roman" w:eastAsia="Times New Roman" w:hAnsi="Times New Roman"/>
          <w:sz w:val="14"/>
          <w:szCs w:val="14"/>
          <w:color w:val="auto"/>
        </w:rPr>
      </w:pPr>
    </w:p>
    <w:p>
      <w:pPr>
        <w:ind w:left="680" w:hanging="328"/>
        <w:spacing w:after="0"/>
        <w:tabs>
          <w:tab w:leader="none" w:pos="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3" w:lineRule="exact"/>
        <w:rPr>
          <w:sz w:val="20"/>
          <w:szCs w:val="20"/>
          <w:color w:val="auto"/>
        </w:rPr>
      </w:pPr>
    </w:p>
    <w:p>
      <w:pPr>
        <w:ind w:left="680" w:right="819" w:hanging="328"/>
        <w:spacing w:after="0" w:line="263" w:lineRule="auto"/>
        <w:tabs>
          <w:tab w:leader="none" w:pos="6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(17 C.F.R. §230.424(b)(3)) shall be deemed to be part of the registration statement as of the date the filed prospectus was deemed part of and included in the registration statement; and</w:t>
      </w:r>
    </w:p>
    <w:p>
      <w:pPr>
        <w:spacing w:after="0" w:line="64" w:lineRule="exact"/>
        <w:rPr>
          <w:rFonts w:ascii="Times New Roman" w:cs="Times New Roman" w:eastAsia="Times New Roman" w:hAnsi="Times New Roman"/>
          <w:sz w:val="14"/>
          <w:szCs w:val="14"/>
          <w:color w:val="auto"/>
        </w:rPr>
      </w:pPr>
    </w:p>
    <w:p>
      <w:pPr>
        <w:ind w:left="680" w:right="379" w:hanging="328"/>
        <w:spacing w:after="0" w:line="244" w:lineRule="auto"/>
        <w:tabs>
          <w:tab w:leader="none" w:pos="6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(17 C.F.R. § 230.424(b)(2), (b)(5), or (b)(7)) as part of a registration statement in reliance on Rule 430B relating to an offering made pursuant to Rule 415(a)(1)(i), (vii), or (x) (17 C.F.R. § 230.415(a)(1) (i),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r>
        <w:rPr>
          <w:rFonts w:ascii="Times New Roman" w:cs="Times New Roman" w:eastAsia="Times New Roman" w:hAnsi="Times New Roman"/>
          <w:sz w:val="14"/>
          <w:szCs w:val="14"/>
          <w:i w:val="1"/>
          <w:iCs w:val="1"/>
          <w:color w:val="auto"/>
        </w:rPr>
        <w:t xml:space="preserve"> 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sz w:val="20"/>
          <w:szCs w:val="20"/>
          <w:color w:val="auto"/>
        </w:rPr>
      </w:pPr>
    </w:p>
    <w:p>
      <w:pPr>
        <w:ind w:left="680" w:right="379" w:hanging="328"/>
        <w:spacing w:after="0" w:line="247" w:lineRule="auto"/>
        <w:tabs>
          <w:tab w:leader="none" w:pos="6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39" w:right="1440" w:bottom="1440" w:gutter="0" w:footer="0" w:header="0"/>
        </w:sectPr>
      </w:pPr>
    </w:p>
    <w:bookmarkStart w:id="35" w:name="page36"/>
    <w:bookmarkEnd w:id="35"/>
    <w:p>
      <w:pPr>
        <w:ind w:left="680" w:right="379" w:hanging="328"/>
        <w:spacing w:after="0" w:line="263" w:lineRule="auto"/>
        <w:tabs>
          <w:tab w:leader="none" w:pos="6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preliminary prospectus or prospectus of the undersigned registrant relating to the offering required to be filed pursuant to Rule 424 (17 C.F.R. § 230.424);</w:t>
      </w:r>
    </w:p>
    <w:p>
      <w:pPr>
        <w:spacing w:after="0" w:line="64" w:lineRule="exact"/>
        <w:rPr>
          <w:rFonts w:ascii="Times New Roman" w:cs="Times New Roman" w:eastAsia="Times New Roman" w:hAnsi="Times New Roman"/>
          <w:sz w:val="14"/>
          <w:szCs w:val="14"/>
          <w:color w:val="auto"/>
        </w:rPr>
      </w:pPr>
    </w:p>
    <w:p>
      <w:pPr>
        <w:ind w:left="680" w:right="359" w:hanging="328"/>
        <w:spacing w:after="0" w:line="263" w:lineRule="auto"/>
        <w:tabs>
          <w:tab w:leader="none" w:pos="6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4" w:lineRule="exact"/>
        <w:rPr>
          <w:rFonts w:ascii="Times New Roman" w:cs="Times New Roman" w:eastAsia="Times New Roman" w:hAnsi="Times New Roman"/>
          <w:sz w:val="14"/>
          <w:szCs w:val="14"/>
          <w:color w:val="auto"/>
        </w:rPr>
      </w:pPr>
    </w:p>
    <w:p>
      <w:pPr>
        <w:ind w:left="680" w:right="639" w:hanging="328"/>
        <w:spacing w:after="0" w:line="263" w:lineRule="auto"/>
        <w:tabs>
          <w:tab w:leader="none" w:pos="6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64" w:lineRule="exact"/>
        <w:rPr>
          <w:rFonts w:ascii="Times New Roman" w:cs="Times New Roman" w:eastAsia="Times New Roman" w:hAnsi="Times New Roman"/>
          <w:sz w:val="14"/>
          <w:szCs w:val="14"/>
          <w:color w:val="auto"/>
        </w:rPr>
      </w:pPr>
    </w:p>
    <w:p>
      <w:pPr>
        <w:ind w:left="680" w:hanging="328"/>
        <w:spacing w:after="0"/>
        <w:tabs>
          <w:tab w:leader="none" w:pos="6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3" w:lineRule="exact"/>
        <w:rPr>
          <w:sz w:val="20"/>
          <w:szCs w:val="20"/>
          <w:color w:val="auto"/>
        </w:rPr>
      </w:pPr>
    </w:p>
    <w:p>
      <w:pPr>
        <w:ind w:left="680" w:right="379" w:hanging="328"/>
        <w:spacing w:after="0" w:line="247" w:lineRule="auto"/>
        <w:tabs>
          <w:tab w:leader="none" w:pos="6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77" w:lineRule="exact"/>
        <w:rPr>
          <w:rFonts w:ascii="Times New Roman" w:cs="Times New Roman" w:eastAsia="Times New Roman" w:hAnsi="Times New Roman"/>
          <w:sz w:val="14"/>
          <w:szCs w:val="14"/>
          <w:color w:val="auto"/>
        </w:rPr>
      </w:pPr>
    </w:p>
    <w:p>
      <w:pPr>
        <w:ind w:left="680" w:right="539" w:hanging="328"/>
        <w:spacing w:after="0" w:line="293" w:lineRule="auto"/>
        <w:tabs>
          <w:tab w:leader="none" w:pos="6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4" w:lineRule="exact"/>
        <w:rPr>
          <w:rFonts w:ascii="Times New Roman" w:cs="Times New Roman" w:eastAsia="Times New Roman" w:hAnsi="Times New Roman"/>
          <w:sz w:val="12"/>
          <w:szCs w:val="12"/>
          <w:color w:val="auto"/>
        </w:rPr>
      </w:pPr>
    </w:p>
    <w:p>
      <w:pPr>
        <w:ind w:left="680" w:right="439" w:hanging="328"/>
        <w:spacing w:after="0" w:line="253" w:lineRule="auto"/>
        <w:tabs>
          <w:tab w:leader="none" w:pos="6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if and when applicable, an application for the purpose of determining the eligibility of the trustee to act under subsection (a) of section 310 of the Trust Indenture Act (the “Act”) in accordance with the rules and regulations prescribed by the Securities and Exchange Commission under section 305(b)(2) of the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9019"/>
          </w:cols>
          <w:pgMar w:left="1440" w:top="239"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SIGNATURES</w:t>
      </w:r>
    </w:p>
    <w:p>
      <w:pPr>
        <w:spacing w:after="0" w:line="169" w:lineRule="exact"/>
        <w:rPr>
          <w:sz w:val="20"/>
          <w:szCs w:val="20"/>
          <w:color w:val="auto"/>
        </w:rPr>
      </w:pPr>
    </w:p>
    <w:p>
      <w:pPr>
        <w:ind w:left="360" w:right="679" w:firstLine="332"/>
        <w:spacing w:after="0" w:line="25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Pittsburgh, Commonwealth of Pennsylvania, on November 4, 2026.</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L.B. FOSTER COMPANY</w:t>
      </w:r>
    </w:p>
    <w:p>
      <w:pPr>
        <w:spacing w:after="0" w:line="169" w:lineRule="exact"/>
        <w:rPr>
          <w:sz w:val="20"/>
          <w:szCs w:val="20"/>
          <w:color w:val="auto"/>
        </w:rPr>
      </w:pPr>
    </w:p>
    <w:tbl>
      <w:tblPr>
        <w:tblLayout w:type="fixed"/>
        <w:tblInd w:w="5340" w:type="dxa"/>
        <w:tblCellMar>
          <w:top w:w="0" w:type="dxa"/>
          <w:left w:w="0" w:type="dxa"/>
          <w:bottom w:w="0" w:type="dxa"/>
          <w:right w:w="0" w:type="dxa"/>
        </w:tblCellMar>
      </w:tblPr>
      <w:tr>
        <w:trPr>
          <w:trHeight w:val="17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John F. Kasel</w:t>
            </w:r>
          </w:p>
        </w:tc>
      </w:tr>
      <w:tr>
        <w:trPr>
          <w:trHeight w:val="141"/>
        </w:trPr>
        <w:tc>
          <w:tcPr>
            <w:tcW w:w="4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Name:</w:t>
            </w:r>
          </w:p>
        </w:tc>
        <w:tc>
          <w:tcPr>
            <w:tcW w:w="292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rPr>
              <w:t>John F. Kasel</w:t>
            </w:r>
          </w:p>
        </w:tc>
      </w:tr>
      <w:tr>
        <w:trPr>
          <w:trHeight w:val="17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9019"/>
          </w:cols>
          <w:pgMar w:left="1440" w:top="235"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POWER OF ATTORNEY</w:t>
      </w:r>
    </w:p>
    <w:p>
      <w:pPr>
        <w:spacing w:after="0" w:line="169" w:lineRule="exact"/>
        <w:rPr>
          <w:sz w:val="20"/>
          <w:szCs w:val="20"/>
          <w:color w:val="auto"/>
        </w:rPr>
      </w:pPr>
    </w:p>
    <w:p>
      <w:pPr>
        <w:ind w:left="360" w:right="439" w:firstLine="332"/>
        <w:spacing w:after="0" w:line="245"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John F. Kasel, Sean M. Reilly and Patrick J. Guinee and each of them, his or her true and lawful attorney(s)-in-fact and agent(s), with full power of substitution and resubstitution, for him or her and in his or her name, place and stead, in any and all capacities, to sign any or all amendments to this Registration Statement on Form S-3 (including pre-effective and post-effective amendments, any supplements, any abbreviated registration statement and any amendments thereto filed pursuant to Rule 462(b) increasing the number of securities for which registration is sought), and to file the same, with all exhibits and schedules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w:t>
      </w:r>
    </w:p>
    <w:p>
      <w:pPr>
        <w:spacing w:after="0" w:line="149" w:lineRule="exact"/>
        <w:rPr>
          <w:sz w:val="20"/>
          <w:szCs w:val="20"/>
          <w:color w:val="auto"/>
        </w:rPr>
      </w:pPr>
    </w:p>
    <w:p>
      <w:pPr>
        <w:ind w:left="360" w:right="539" w:firstLine="332"/>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141"/>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Signatures</w:t>
            </w:r>
          </w:p>
        </w:tc>
        <w:tc>
          <w:tcPr>
            <w:tcW w:w="100" w:type="dxa"/>
            <w:vAlign w:val="bottom"/>
          </w:tcPr>
          <w:p>
            <w:pPr>
              <w:spacing w:after="0"/>
              <w:rPr>
                <w:sz w:val="12"/>
                <w:szCs w:val="12"/>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5"/>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John F. Kasel</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President, Chief Executive Officer, and 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6"/>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John F. Kasel</w:t>
            </w:r>
          </w:p>
        </w:tc>
        <w:tc>
          <w:tcPr>
            <w:tcW w:w="100" w:type="dxa"/>
            <w:vAlign w:val="bottom"/>
          </w:tcPr>
          <w:p>
            <w:pPr>
              <w:spacing w:after="0"/>
              <w:rPr>
                <w:sz w:val="14"/>
                <w:szCs w:val="14"/>
                <w:color w:val="auto"/>
              </w:rPr>
            </w:pPr>
          </w:p>
        </w:tc>
        <w:tc>
          <w:tcPr>
            <w:tcW w:w="41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auto"/>
                <w:w w:val="96"/>
              </w:rPr>
              <w:t>(Principal Executive Officer)</w:t>
            </w: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Sean M. Reilly</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Senior Vice President and Chief Financial Officer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6"/>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Sean M. Reilly</w:t>
            </w:r>
          </w:p>
        </w:tc>
        <w:tc>
          <w:tcPr>
            <w:tcW w:w="100" w:type="dxa"/>
            <w:vAlign w:val="bottom"/>
          </w:tcPr>
          <w:p>
            <w:pPr>
              <w:spacing w:after="0"/>
              <w:rPr>
                <w:sz w:val="14"/>
                <w:szCs w:val="14"/>
                <w:color w:val="auto"/>
              </w:rPr>
            </w:pPr>
          </w:p>
        </w:tc>
        <w:tc>
          <w:tcPr>
            <w:tcW w:w="41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color w:val="auto"/>
                <w:w w:val="97"/>
              </w:rPr>
              <w:t>(Principal Financial Officer)</w:t>
            </w: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Timothy J. Curran</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Corporate Controller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6"/>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Timothy J. Curran</w:t>
            </w:r>
          </w:p>
        </w:tc>
        <w:tc>
          <w:tcPr>
            <w:tcW w:w="100" w:type="dxa"/>
            <w:vAlign w:val="bottom"/>
          </w:tcPr>
          <w:p>
            <w:pPr>
              <w:spacing w:after="0"/>
              <w:rPr>
                <w:sz w:val="14"/>
                <w:szCs w:val="14"/>
                <w:color w:val="auto"/>
              </w:rPr>
            </w:pPr>
          </w:p>
        </w:tc>
        <w:tc>
          <w:tcPr>
            <w:tcW w:w="41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color w:val="auto"/>
                <w:w w:val="97"/>
              </w:rPr>
              <w:t>(Principal Accounting Officer)</w:t>
            </w: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Raymond T. Betler</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Chairman of the Board and 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5"/>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Raymond T. Betler</w:t>
            </w: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John E. Kunz</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5"/>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John E. Kunz</w:t>
            </w: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David J. Meyer</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5"/>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David J. Meyer</w:t>
            </w: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Diane B. Owen</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5"/>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Diane B. Owen</w:t>
            </w: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Bruce E. Thompson</w:t>
            </w:r>
          </w:p>
        </w:tc>
        <w:tc>
          <w:tcPr>
            <w:tcW w:w="100" w:type="dxa"/>
            <w:vAlign w:val="bottom"/>
          </w:tcPr>
          <w:p>
            <w:pPr>
              <w:spacing w:after="0"/>
              <w:rPr>
                <w:sz w:val="24"/>
                <w:szCs w:val="24"/>
                <w:color w:val="auto"/>
              </w:rPr>
            </w:pPr>
          </w:p>
        </w:tc>
        <w:tc>
          <w:tcPr>
            <w:tcW w:w="4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November 4, 2026</w:t>
            </w:r>
          </w:p>
        </w:tc>
      </w:tr>
      <w:tr>
        <w:trPr>
          <w:trHeight w:val="165"/>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Bruce E. Thompson</w:t>
            </w: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2"/>
        </w:trPr>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4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II-8</w:t>
            </w:r>
          </w:p>
        </w:tc>
        <w:tc>
          <w:tcPr>
            <w:tcW w:w="1400" w:type="dxa"/>
            <w:vAlign w:val="bottom"/>
          </w:tcPr>
          <w:p>
            <w:pPr>
              <w:spacing w:after="0"/>
              <w:rPr>
                <w:sz w:val="23"/>
                <w:szCs w:val="23"/>
                <w:color w:val="auto"/>
              </w:rPr>
            </w:pPr>
          </w:p>
        </w:tc>
      </w:tr>
    </w:tbl>
    <w:p>
      <w:pPr>
        <w:sectPr>
          <w:pgSz w:w="11900" w:h="16838" w:orient="portrait"/>
          <w:cols w:equalWidth="0" w:num="1">
            <w:col w:w="9019"/>
          </w:cols>
          <w:pgMar w:left="1440" w:top="235" w:right="1440" w:bottom="1440" w:gutter="0" w:footer="0" w:header="0"/>
        </w:sectPr>
      </w:pPr>
    </w:p>
    <w:bookmarkStart w:id="38" w:name="page39"/>
    <w:bookmarkEnd w:id="38"/>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L.B. FOSTER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Issuer,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[__], as Trustee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[__]</w:t>
      </w:r>
    </w:p>
    <w:p>
      <w:pPr>
        <w:sectPr>
          <w:pgSz w:w="11900" w:h="16838" w:orient="portrait"/>
          <w:cols w:equalWidth="0" w:num="1">
            <w:col w:w="9019"/>
          </w:cols>
          <w:pgMar w:left="1440" w:top="123" w:right="1440" w:bottom="1440" w:gutter="0" w:footer="0" w:header="0"/>
        </w:sectPr>
      </w:pPr>
    </w:p>
    <w:bookmarkStart w:id="39" w:name="page40"/>
    <w:bookmarkEnd w:id="39"/>
    <w:tbl>
      <w:tblPr>
        <w:tblLayout w:type="fixed"/>
        <w:tblInd w:w="360" w:type="dxa"/>
        <w:tblCellMar>
          <w:top w:w="0" w:type="dxa"/>
          <w:left w:w="0" w:type="dxa"/>
          <w:bottom w:w="0" w:type="dxa"/>
          <w:right w:w="0" w:type="dxa"/>
        </w:tblCellMar>
      </w:tblPr>
      <w:tr>
        <w:trPr>
          <w:trHeight w:val="179"/>
        </w:trPr>
        <w:tc>
          <w:tcPr>
            <w:tcW w:w="714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20" w:type="dxa"/>
            <w:vAlign w:val="bottom"/>
          </w:tcPr>
          <w:p>
            <w:pPr>
              <w:spacing w:after="0"/>
              <w:rPr>
                <w:sz w:val="15"/>
                <w:szCs w:val="15"/>
                <w:color w:val="auto"/>
              </w:rPr>
            </w:pPr>
          </w:p>
        </w:tc>
      </w:tr>
      <w:tr>
        <w:trPr>
          <w:trHeight w:val="346"/>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1 – DEFINITIONS AND INCORPORATION BY REFERENCE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1.1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1.2. OTHER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1.3. INCORPORATION BY REFERENCE OF TRUST INDENTURE ACT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1.4. RULES OF CONSTRUCTION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2 – THE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 ISSUABLE IN SERIES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2.2. ESTABLISHMENT OF TERMS OF SERIES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2.3. EXECUTION AND AUTHENTICATION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2.4. REGISTRAR AND PAYING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2.5. PAYING AGENT TO HOLD ASSETS IN TRUST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2.6. SECURITYHOLDER LISTS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2.7. TRANSFER AND EXCHANGE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2.8. REPLACEMENT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2.9. OUTSTANDING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2.10. WHEN TREASURY SECURITIES DISREGARDED; DETERMINATION OF HOLDERS’ ACTION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2.11. TEMPORARY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2.12. CANCELLATION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2.13. PAYMENT OF INTEREST; DEFAULTED INTEREST; COMPUTATION OF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2.14. CUSIP NUMBER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2.15. PROVISIONS FOR GLOBAL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2.16. PERSONS DEEMED OWNERS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3 –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3.1. NOTICES TO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3.2. SELECTION BY TRUSTEE OF SECURITIES TO BE REDEEMED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3.3. NOTICE OF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 EFFECT OF NOTICE OF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3.5. DEPOSIT OF REDEMPTION PRICE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3.6. SECURITIES REDEEMED IN PART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4 –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4.1. PAYMENT OF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 SEC REPORTS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4.3. WAIVER OF STAY, EXTENSION OR USURY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4.4. COMPLIANCE CERTIFICATE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4.5. CORPORATE EXISTENCE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5 – SUCCESSOR CORPORATION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5.1. LIMITATION ON CONSOLIDATION, MERGER AND SALE OF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5.2. SUCCESSOR PERSON SUBSTITUTED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ARTICLE 6 – DEFAULTS AND REMEDIES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2"/>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6.1. 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6.2. ACCELERATION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6.3. REMEDIES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6.4. WAIVER OF PAST DEFAULTS AND 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6.5. CONTROL BY MAJORITY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6.6. LIMITATION ON SUITS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6.7. RIGHTS OF HOLDERS TO RECEIVE PAYMENT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6.8. COLLECTION SUIT BY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6.9. TRUSTEE MAY FILE PROOFS OF CLAIM</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3"/>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6.10. PRIORITIES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5"/>
        </w:trPr>
        <w:tc>
          <w:tcPr>
            <w:tcW w:w="7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6.11. UNDERTAKING FOR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jc w:val="right"/>
        <w:spacing w:after="0"/>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bookmarkStart w:id="40" w:name="page41"/>
    <w:bookmarkEnd w:id="40"/>
    <w:tbl>
      <w:tblPr>
        <w:tblLayout w:type="fixed"/>
        <w:tblInd w:w="360" w:type="dxa"/>
        <w:tblCellMar>
          <w:top w:w="0" w:type="dxa"/>
          <w:left w:w="0" w:type="dxa"/>
          <w:bottom w:w="0" w:type="dxa"/>
          <w:right w:w="0" w:type="dxa"/>
        </w:tblCellMar>
      </w:tblP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ARTICLE 7 –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7.1. DUTIES OF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7.2. RIGHTS OF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7.3. INDIVIDUAL RIGHTS OF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7.4. TRUSTEE’S DISCLAIMER</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7.5. NOTICE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7.6. REPORTS BY TRUSTEE TO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7.7. COMPENSATION AND INDEMNITY</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7.8. REPLACEMENT OF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7.9. SUCCESSOR TRUSTEE BY CONSOLIDATION, MERGER OR CONVERSION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7.10. ELIGIBILITY; DISQUALIFICATION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7.11. PREFERENTIAL COLLECTION OF CLAIMS AGAINST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5"/>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7.12. PAYING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ARTICLE 8 – AMENDMENTS, SUPPLEMENTS AND WAIVERS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8.1. WITHOUT CONSENT OF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8.2. WITH CONSENT OF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8.3. COMPLIANCE WITH TRUST INDENTURE ACT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8.4. REVOCATION AND EFFECT OF CONSENTS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8.5. NOTATION ON OR EXCHANGE OF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5"/>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8.6. TRUSTEE TO SIGN AMENDMENTS, ETC.</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ARTICLE 9 – DISCHARGE OF INDENTURE; DEFEASANCE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9.1. DISCHARGE OF INDENTURE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9.2. LEGAL DEFEASANCE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9.3. COVENANT DEFEASANCE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9.4. CONDITIONS TO LEGAL DEFEASANCE OR COVENANT DEFEASANCE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3"/>
        </w:trPr>
        <w:tc>
          <w:tcPr>
            <w:tcW w:w="7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9.5. DEPOSITED MONEY AND U.S. AND FOREIGN GOVERNMENT OBLIGATIONS TO BE HELD IN TRUST; OTHER</w:t>
            </w:r>
          </w:p>
        </w:tc>
        <w:tc>
          <w:tcPr>
            <w:tcW w:w="580" w:type="dxa"/>
            <w:vAlign w:val="bottom"/>
          </w:tcPr>
          <w:p>
            <w:pPr>
              <w:spacing w:after="0"/>
              <w:rPr>
                <w:sz w:val="14"/>
                <w:szCs w:val="14"/>
                <w:color w:val="auto"/>
              </w:rPr>
            </w:pPr>
          </w:p>
        </w:tc>
      </w:tr>
      <w:tr>
        <w:trPr>
          <w:trHeight w:val="163"/>
        </w:trPr>
        <w:tc>
          <w:tcPr>
            <w:tcW w:w="7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MISCELLANEOUS PROVISIONS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9.6. REINSTATEMENT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9.7. MONEYS HELD BY PAYING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5"/>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9.8. MONEYS HELD BY TRUSTEE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4"/>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ARTICLE 10 – MISCELLANEOUS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 TRUST INDENTURE ACT CONTROLS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10.2. NOTICES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10.3. COMMUNICATIONS BY HOLDERS WITH OTHER HOLDERS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10.4. CERTIFICATE AND OPINION AS TO CONDITIONS PRECEDENT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10.5. STATEMENT REQUIRED IN CERTIFICATE AND OPINION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10.6. RULES BY TRUSTEE AND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10.7. BUSINESS DAYS; LEGAL HOLIDAYS; PLACE OF PAYMENT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10.8. GOVERNING LAW</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10.9. NO ADVERSE INTERPRETATION OF OTHER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10.10. NO RECOURSE AGAINST OTHERS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10.11. SUCCESSORS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10.12. MULTIPLE COUNTERPARTS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10.13. TABLE OF CONTENTS, HEADINGS, ETC.</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10.14. SEVERABILITY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10.15. SECURITIES IN A FOREIGN CURRENCY OR IN EUROS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5"/>
        </w:trPr>
        <w:tc>
          <w:tcPr>
            <w:tcW w:w="7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10.16. JUDGMENT CURRENCY</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jc w:val="right"/>
        <w:spacing w:after="0"/>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bookmarkStart w:id="41" w:name="page42"/>
    <w:bookmarkEnd w:id="41"/>
    <w:tbl>
      <w:tblPr>
        <w:tblLayout w:type="fixed"/>
        <w:tblInd w:w="36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6080" w:type="dxa"/>
            <w:vAlign w:val="bottom"/>
            <w:gridSpan w:val="2"/>
          </w:tcPr>
          <w:p>
            <w:pPr>
              <w:jc w:val="right"/>
              <w:ind w:right="3135"/>
              <w:spacing w:after="0"/>
              <w:rPr>
                <w:sz w:val="20"/>
                <w:szCs w:val="20"/>
                <w:color w:val="auto"/>
              </w:rPr>
            </w:pPr>
            <w:r>
              <w:rPr>
                <w:rFonts w:ascii="Times New Roman" w:cs="Times New Roman" w:eastAsia="Times New Roman" w:hAnsi="Times New Roman"/>
                <w:sz w:val="14"/>
                <w:szCs w:val="14"/>
                <w:b w:val="1"/>
                <w:bCs w:val="1"/>
                <w:color w:val="auto"/>
              </w:rPr>
              <w:t>CROSS-REFERENCE TABLE</w:t>
            </w:r>
          </w:p>
        </w:tc>
        <w:tc>
          <w:tcPr>
            <w:tcW w:w="0" w:type="dxa"/>
            <w:vAlign w:val="bottom"/>
          </w:tcPr>
          <w:p>
            <w:pPr>
              <w:spacing w:after="0"/>
              <w:rPr>
                <w:sz w:val="1"/>
                <w:szCs w:val="1"/>
                <w:color w:val="auto"/>
              </w:rPr>
            </w:pPr>
          </w:p>
        </w:tc>
      </w:tr>
      <w:tr>
        <w:trPr>
          <w:trHeight w:val="277"/>
        </w:trPr>
        <w:tc>
          <w:tcPr>
            <w:tcW w:w="21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TIA SECTION</w:t>
            </w:r>
          </w:p>
        </w:tc>
        <w:tc>
          <w:tcPr>
            <w:tcW w:w="528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INDENTURE</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5280" w:type="dxa"/>
            <w:vAlign w:val="bottom"/>
          </w:tcPr>
          <w:p>
            <w:pPr>
              <w:spacing w:after="0"/>
              <w:rPr>
                <w:sz w:val="11"/>
                <w:szCs w:val="11"/>
                <w:color w:val="auto"/>
              </w:rPr>
            </w:pPr>
          </w:p>
        </w:tc>
        <w:tc>
          <w:tcPr>
            <w:tcW w:w="8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0" w:type="dxa"/>
            <w:vAlign w:val="bottom"/>
          </w:tcPr>
          <w:p>
            <w:pPr>
              <w:spacing w:after="0"/>
              <w:rPr>
                <w:sz w:val="1"/>
                <w:szCs w:val="1"/>
                <w:color w:val="auto"/>
              </w:rPr>
            </w:pPr>
          </w:p>
        </w:tc>
      </w:tr>
      <w:tr>
        <w:trPr>
          <w:trHeight w:val="140"/>
        </w:trPr>
        <w:tc>
          <w:tcPr>
            <w:tcW w:w="21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310(a)(1)(2)(5)</w:t>
            </w:r>
          </w:p>
        </w:tc>
        <w:tc>
          <w:tcPr>
            <w:tcW w:w="52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310(a)(3)(4)</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 7.10</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311(a)(b)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312(b)(c)</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313(a)(b)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 10.2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4.4; 10.2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314(c)(1)(2)</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 10.5</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314(c)(3)</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5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7.1, 7.2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 10.2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7.2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316(a)(last sentence)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316(a)(1)(A)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316(a)(1)(B)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316(a)(2)</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317(a)(1)</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317(a)(2)</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7.12</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4"/>
          <w:szCs w:val="14"/>
          <w:color w:val="auto"/>
        </w:rPr>
        <w:t>Note: This Cross-Reference Table shall not, for any purpose, be deemed to be a part of the Indenture.</w:t>
      </w:r>
    </w:p>
    <w:p>
      <w:pPr>
        <w:sectPr>
          <w:pgSz w:w="11900" w:h="16838" w:orient="portrait"/>
          <w:cols w:equalWidth="0" w:num="1">
            <w:col w:w="9019"/>
          </w:cols>
          <w:pgMar w:left="1440" w:top="235" w:right="1440" w:bottom="1440" w:gutter="0" w:footer="0" w:header="0"/>
        </w:sectPr>
      </w:pPr>
    </w:p>
    <w:bookmarkStart w:id="42" w:name="page43"/>
    <w:bookmarkEnd w:id="42"/>
    <w:p>
      <w:pPr>
        <w:ind w:left="360" w:right="39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INDENTURE, dated as 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by and between L.B. Foster Company, a Pennsylvania corporation, as Issuer (the “Company”) and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 organized under the laws of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as Trustee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-133985</wp:posOffset>
            </wp:positionV>
            <wp:extent cx="863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-133985</wp:posOffset>
            </wp:positionV>
            <wp:extent cx="8636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-133985</wp:posOffset>
            </wp:positionV>
            <wp:extent cx="863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-30480</wp:posOffset>
            </wp:positionV>
            <wp:extent cx="8636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86360" cy="635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 OF THE COMPANY</w:t>
      </w:r>
    </w:p>
    <w:p>
      <w:pPr>
        <w:spacing w:after="0" w:line="169" w:lineRule="exact"/>
        <w:rPr>
          <w:sz w:val="20"/>
          <w:szCs w:val="20"/>
          <w:color w:val="auto"/>
        </w:rPr>
      </w:pPr>
    </w:p>
    <w:p>
      <w:pPr>
        <w:jc w:val="both"/>
        <w:ind w:left="360" w:right="479"/>
        <w:spacing w:after="0" w:line="253" w:lineRule="auto"/>
        <w:rPr>
          <w:sz w:val="20"/>
          <w:szCs w:val="20"/>
          <w:color w:val="auto"/>
        </w:rPr>
      </w:pPr>
      <w:r>
        <w:rPr>
          <w:rFonts w:ascii="Times New Roman" w:cs="Times New Roman" w:eastAsia="Times New Roman" w:hAnsi="Times New Roman"/>
          <w:sz w:val="14"/>
          <w:szCs w:val="14"/>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42" w:lineRule="exact"/>
        <w:rPr>
          <w:sz w:val="20"/>
          <w:szCs w:val="20"/>
          <w:color w:val="auto"/>
        </w:rPr>
      </w:pPr>
    </w:p>
    <w:p>
      <w:pPr>
        <w:ind w:left="360" w:right="719"/>
        <w:spacing w:after="0" w:line="263" w:lineRule="auto"/>
        <w:rPr>
          <w:sz w:val="20"/>
          <w:szCs w:val="20"/>
          <w:color w:val="auto"/>
        </w:rPr>
      </w:pPr>
      <w:r>
        <w:rPr>
          <w:rFonts w:ascii="Times New Roman" w:cs="Times New Roman" w:eastAsia="Times New Roman" w:hAnsi="Times New Roman"/>
          <w:sz w:val="14"/>
          <w:szCs w:val="14"/>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p>
    <w:p>
      <w:pPr>
        <w:spacing w:after="0" w:line="169" w:lineRule="exact"/>
        <w:rPr>
          <w:sz w:val="20"/>
          <w:szCs w:val="20"/>
          <w:color w:val="auto"/>
        </w:rPr>
      </w:pPr>
    </w:p>
    <w:p>
      <w:pPr>
        <w:ind w:left="360" w:right="439"/>
        <w:spacing w:after="0" w:line="263" w:lineRule="auto"/>
        <w:rPr>
          <w:sz w:val="20"/>
          <w:szCs w:val="20"/>
          <w:color w:val="auto"/>
        </w:rPr>
      </w:pPr>
      <w:r>
        <w:rPr>
          <w:rFonts w:ascii="Times New Roman" w:cs="Times New Roman" w:eastAsia="Times New Roman" w:hAnsi="Times New Roman"/>
          <w:sz w:val="14"/>
          <w:szCs w:val="14"/>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INCORPORATION BY REFERENCE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1.1 DEFINITIONS.</w:t>
      </w:r>
    </w:p>
    <w:p>
      <w:pPr>
        <w:spacing w:after="0" w:line="87"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“Agent” means any Registrar, Paying Agent, co-registrar or agent for service of notices and demands.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“Board of Directors” means the Board of Directors of the Company or any committee duly authorized to act therefor.</w:t>
      </w:r>
    </w:p>
    <w:p>
      <w:pPr>
        <w:spacing w:after="0" w:line="165" w:lineRule="exact"/>
        <w:rPr>
          <w:sz w:val="20"/>
          <w:szCs w:val="20"/>
          <w:color w:val="auto"/>
        </w:rPr>
      </w:pPr>
    </w:p>
    <w:p>
      <w:pPr>
        <w:ind w:left="360" w:right="359"/>
        <w:spacing w:after="0" w:line="263" w:lineRule="auto"/>
        <w:rPr>
          <w:sz w:val="20"/>
          <w:szCs w:val="20"/>
          <w:color w:val="auto"/>
        </w:rPr>
      </w:pPr>
      <w:r>
        <w:rPr>
          <w:rFonts w:ascii="Times New Roman" w:cs="Times New Roman" w:eastAsia="Times New Roman" w:hAnsi="Times New Roman"/>
          <w:sz w:val="14"/>
          <w:szCs w:val="14"/>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36" w:lineRule="exact"/>
        <w:rPr>
          <w:sz w:val="20"/>
          <w:szCs w:val="20"/>
          <w:color w:val="auto"/>
        </w:rPr>
      </w:pPr>
    </w:p>
    <w:p>
      <w:pPr>
        <w:ind w:left="360" w:right="399"/>
        <w:spacing w:after="0" w:line="253" w:lineRule="auto"/>
        <w:rPr>
          <w:sz w:val="20"/>
          <w:szCs w:val="20"/>
          <w:color w:val="auto"/>
        </w:rPr>
      </w:pPr>
      <w:r>
        <w:rPr>
          <w:rFonts w:ascii="Times New Roman" w:cs="Times New Roman" w:eastAsia="Times New Roman" w:hAnsi="Times New Roman"/>
          <w:sz w:val="14"/>
          <w:szCs w:val="14"/>
          <w:color w:val="auto"/>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spacing w:after="0" w:line="142" w:lineRule="exact"/>
        <w:rPr>
          <w:sz w:val="20"/>
          <w:szCs w:val="20"/>
          <w:color w:val="auto"/>
        </w:rPr>
      </w:pPr>
    </w:p>
    <w:p>
      <w:pPr>
        <w:ind w:left="360" w:right="679"/>
        <w:spacing w:after="0" w:line="263" w:lineRule="auto"/>
        <w:rPr>
          <w:sz w:val="20"/>
          <w:szCs w:val="20"/>
          <w:color w:val="auto"/>
        </w:rPr>
      </w:pPr>
      <w:r>
        <w:rPr>
          <w:rFonts w:ascii="Times New Roman" w:cs="Times New Roman" w:eastAsia="Times New Roman" w:hAnsi="Times New Roman"/>
          <w:sz w:val="14"/>
          <w:szCs w:val="14"/>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36" w:lineRule="exact"/>
        <w:rPr>
          <w:sz w:val="20"/>
          <w:szCs w:val="20"/>
          <w:color w:val="auto"/>
        </w:rPr>
      </w:pPr>
    </w:p>
    <w:p>
      <w:pPr>
        <w:ind w:left="360" w:right="559"/>
        <w:spacing w:after="0" w:line="263" w:lineRule="auto"/>
        <w:rPr>
          <w:sz w:val="20"/>
          <w:szCs w:val="20"/>
          <w:color w:val="auto"/>
        </w:rPr>
      </w:pPr>
      <w:r>
        <w:rPr>
          <w:rFonts w:ascii="Times New Roman" w:cs="Times New Roman" w:eastAsia="Times New Roman" w:hAnsi="Times New Roman"/>
          <w:sz w:val="14"/>
          <w:szCs w:val="14"/>
          <w:color w:val="auto"/>
        </w:rPr>
        <w:t>“Company Order” means a written order signed in the name of the Company by two Officers, one of whom must be its Chief Executive Officer or its Chief Financial Officer.</w:t>
      </w:r>
    </w:p>
    <w:p>
      <w:pPr>
        <w:spacing w:after="0" w:line="136" w:lineRule="exact"/>
        <w:rPr>
          <w:sz w:val="20"/>
          <w:szCs w:val="20"/>
          <w:color w:val="auto"/>
        </w:rPr>
      </w:pPr>
    </w:p>
    <w:p>
      <w:pPr>
        <w:ind w:left="360" w:right="459"/>
        <w:spacing w:after="0" w:line="263" w:lineRule="auto"/>
        <w:rPr>
          <w:sz w:val="20"/>
          <w:szCs w:val="20"/>
          <w:color w:val="auto"/>
        </w:rPr>
      </w:pPr>
      <w:r>
        <w:rPr>
          <w:rFonts w:ascii="Times New Roman" w:cs="Times New Roman" w:eastAsia="Times New Roman" w:hAnsi="Times New Roman"/>
          <w:sz w:val="14"/>
          <w:szCs w:val="14"/>
          <w:color w:val="auto"/>
        </w:rPr>
        <w:t>“Company Request” means any written request signed in the name of the Company by its Chief Executive Officer, its President, any Vice President, its Chief Financial Officer or its Treasurer and attested to by its Secretary or any Assistant Secretary.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5" w:right="1440" w:bottom="1440" w:gutter="0" w:footer="0" w:header="0"/>
        </w:sectPr>
      </w:pPr>
    </w:p>
    <w:bookmarkStart w:id="43" w:name="page44"/>
    <w:bookmarkEnd w:id="43"/>
    <w:p>
      <w:pPr>
        <w:ind w:left="3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“Corporate Trust Office” means the office of the Trustee at which at any particular time its corporate trust business shall be principally administered.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“Default” means any event that is, or that with the passing of time or giving of notice or both would be, an Event of Default.</w:t>
      </w:r>
    </w:p>
    <w:p>
      <w:pPr>
        <w:spacing w:after="0" w:line="165" w:lineRule="exact"/>
        <w:rPr>
          <w:sz w:val="20"/>
          <w:szCs w:val="20"/>
          <w:color w:val="auto"/>
        </w:rPr>
      </w:pPr>
    </w:p>
    <w:p>
      <w:pPr>
        <w:ind w:left="360" w:right="439"/>
        <w:spacing w:after="0" w:line="249" w:lineRule="auto"/>
        <w:rPr>
          <w:sz w:val="20"/>
          <w:szCs w:val="20"/>
          <w:color w:val="auto"/>
        </w:rPr>
      </w:pPr>
      <w:r>
        <w:rPr>
          <w:rFonts w:ascii="Times New Roman" w:cs="Times New Roman" w:eastAsia="Times New Roman" w:hAnsi="Times New Roman"/>
          <w:sz w:val="14"/>
          <w:szCs w:val="14"/>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“Dollars” means the currency of the United States of America.</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“Euro” means the single currency of participating member states of the economic and monetary union as contemplated in the Treaty on European Union.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“Foreign Currency” means any currency or currency unit issued by a government other than the government of the United States of America.</w:t>
      </w:r>
    </w:p>
    <w:p>
      <w:pPr>
        <w:spacing w:after="0" w:line="165"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“GAAP” means generally accepted accounting principles consistently applied as in effect in the United States of America from time to time.</w:t>
      </w:r>
    </w:p>
    <w:p>
      <w:pPr>
        <w:spacing w:after="0" w:line="165" w:lineRule="exact"/>
        <w:rPr>
          <w:sz w:val="20"/>
          <w:szCs w:val="20"/>
          <w:color w:val="auto"/>
        </w:rPr>
      </w:pPr>
    </w:p>
    <w:p>
      <w:pPr>
        <w:ind w:left="360" w:right="439"/>
        <w:spacing w:after="0" w:line="315" w:lineRule="auto"/>
        <w:rPr>
          <w:sz w:val="20"/>
          <w:szCs w:val="20"/>
          <w:color w:val="auto"/>
        </w:rPr>
      </w:pPr>
      <w:r>
        <w:rPr>
          <w:rFonts w:ascii="Times New Roman" w:cs="Times New Roman" w:eastAsia="Times New Roman" w:hAnsi="Times New Roman"/>
          <w:sz w:val="12"/>
          <w:szCs w:val="12"/>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“Holder” or “Securityholder” means the Person in whose name a Security is registered on the Registrar’s books.</w:t>
      </w:r>
    </w:p>
    <w:p>
      <w:pPr>
        <w:spacing w:after="0" w:line="165" w:lineRule="exact"/>
        <w:rPr>
          <w:sz w:val="20"/>
          <w:szCs w:val="20"/>
          <w:color w:val="auto"/>
        </w:rPr>
      </w:pPr>
    </w:p>
    <w:p>
      <w:pPr>
        <w:ind w:left="360" w:right="459"/>
        <w:spacing w:after="0" w:line="246" w:lineRule="auto"/>
        <w:rPr>
          <w:sz w:val="20"/>
          <w:szCs w:val="20"/>
          <w:color w:val="auto"/>
        </w:rPr>
      </w:pPr>
      <w:r>
        <w:rPr>
          <w:rFonts w:ascii="Times New Roman" w:cs="Times New Roman" w:eastAsia="Times New Roman" w:hAnsi="Times New Roman"/>
          <w:sz w:val="14"/>
          <w:szCs w:val="14"/>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“Indenture” means this Indenture as amended, restated or supplemented from time to time.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“Interest Payment Date,” when used with respect to any Security, means the Stated Maturity of an installment of interest on such Security.</w:t>
      </w:r>
    </w:p>
    <w:p>
      <w:pPr>
        <w:spacing w:after="0" w:line="165" w:lineRule="exact"/>
        <w:rPr>
          <w:sz w:val="20"/>
          <w:szCs w:val="20"/>
          <w:color w:val="auto"/>
        </w:rPr>
      </w:pPr>
    </w:p>
    <w:p>
      <w:pPr>
        <w:ind w:left="360" w:right="439"/>
        <w:spacing w:after="0" w:line="249" w:lineRule="auto"/>
        <w:rPr>
          <w:sz w:val="20"/>
          <w:szCs w:val="20"/>
          <w:color w:val="auto"/>
        </w:rPr>
      </w:pPr>
      <w:r>
        <w:rPr>
          <w:rFonts w:ascii="Times New Roman" w:cs="Times New Roman" w:eastAsia="Times New Roman" w:hAnsi="Times New Roman"/>
          <w:sz w:val="14"/>
          <w:szCs w:val="14"/>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44" w:name="page45"/>
    <w:bookmarkEnd w:id="44"/>
    <w:p>
      <w:pPr>
        <w:jc w:val="both"/>
        <w:ind w:left="360" w:right="4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42" w:lineRule="exact"/>
        <w:rPr>
          <w:sz w:val="20"/>
          <w:szCs w:val="20"/>
          <w:color w:val="auto"/>
        </w:rPr>
      </w:pPr>
    </w:p>
    <w:p>
      <w:pPr>
        <w:ind w:left="360" w:right="839"/>
        <w:spacing w:after="0" w:line="263" w:lineRule="auto"/>
        <w:rPr>
          <w:sz w:val="20"/>
          <w:szCs w:val="20"/>
          <w:color w:val="auto"/>
        </w:rPr>
      </w:pPr>
      <w:r>
        <w:rPr>
          <w:rFonts w:ascii="Times New Roman" w:cs="Times New Roman" w:eastAsia="Times New Roman" w:hAnsi="Times New Roman"/>
          <w:sz w:val="14"/>
          <w:szCs w:val="14"/>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136" w:lineRule="exact"/>
        <w:rPr>
          <w:sz w:val="20"/>
          <w:szCs w:val="20"/>
          <w:color w:val="auto"/>
        </w:rPr>
      </w:pPr>
    </w:p>
    <w:p>
      <w:pPr>
        <w:ind w:left="360" w:right="379"/>
        <w:spacing w:after="0" w:line="347" w:lineRule="auto"/>
        <w:rPr>
          <w:sz w:val="20"/>
          <w:szCs w:val="20"/>
          <w:color w:val="auto"/>
        </w:rPr>
      </w:pPr>
      <w:r>
        <w:rPr>
          <w:rFonts w:ascii="Times New Roman" w:cs="Times New Roman" w:eastAsia="Times New Roman" w:hAnsi="Times New Roman"/>
          <w:sz w:val="12"/>
          <w:szCs w:val="12"/>
          <w:color w:val="auto"/>
        </w:rPr>
        <w:t>“Officers’ Certificate” means, with respect to any Person, a certificate signed by the Chairman, Chief Executive Officer, President or any Senior or Executive Vice President and the Chief Financial Officer or any Treasurer of such Person, that shall comply with applicable provisions of this Indenture.</w:t>
      </w:r>
    </w:p>
    <w:p>
      <w:pPr>
        <w:spacing w:after="0" w:line="89" w:lineRule="exact"/>
        <w:rPr>
          <w:sz w:val="20"/>
          <w:szCs w:val="20"/>
          <w:color w:val="auto"/>
        </w:rPr>
      </w:pPr>
    </w:p>
    <w:p>
      <w:pPr>
        <w:ind w:left="360" w:right="799"/>
        <w:spacing w:after="0" w:line="263" w:lineRule="auto"/>
        <w:rPr>
          <w:sz w:val="20"/>
          <w:szCs w:val="20"/>
          <w:color w:val="auto"/>
        </w:rPr>
      </w:pPr>
      <w:r>
        <w:rPr>
          <w:rFonts w:ascii="Times New Roman" w:cs="Times New Roman" w:eastAsia="Times New Roman" w:hAnsi="Times New Roman"/>
          <w:sz w:val="14"/>
          <w:szCs w:val="14"/>
          <w:color w:val="auto"/>
        </w:rPr>
        <w:t>“Opinion of Counsel” means a written opinion from legal counsel, which counsel is reasonably acceptable to the Trustee. The counsel may be an employee of or counsel to the Company.</w:t>
      </w:r>
    </w:p>
    <w:p>
      <w:pPr>
        <w:spacing w:after="0" w:line="136" w:lineRule="exact"/>
        <w:rPr>
          <w:sz w:val="20"/>
          <w:szCs w:val="20"/>
          <w:color w:val="auto"/>
        </w:rPr>
      </w:pPr>
    </w:p>
    <w:p>
      <w:pPr>
        <w:ind w:left="360" w:right="379"/>
        <w:spacing w:after="0" w:line="263" w:lineRule="auto"/>
        <w:rPr>
          <w:sz w:val="20"/>
          <w:szCs w:val="20"/>
          <w:color w:val="auto"/>
        </w:rPr>
      </w:pPr>
      <w:r>
        <w:rPr>
          <w:rFonts w:ascii="Times New Roman" w:cs="Times New Roman" w:eastAsia="Times New Roman" w:hAnsi="Times New Roman"/>
          <w:sz w:val="14"/>
          <w:szCs w:val="14"/>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“Redemption Date,” when used with respect to any Security to be redeemed, means the date fixed for such redemption pursuant to this Indenture.</w:t>
      </w:r>
    </w:p>
    <w:p>
      <w:pPr>
        <w:spacing w:after="0" w:line="165" w:lineRule="exact"/>
        <w:rPr>
          <w:sz w:val="20"/>
          <w:szCs w:val="20"/>
          <w:color w:val="auto"/>
        </w:rPr>
      </w:pPr>
    </w:p>
    <w:p>
      <w:pPr>
        <w:ind w:left="360" w:right="459"/>
        <w:spacing w:after="0" w:line="249" w:lineRule="auto"/>
        <w:rPr>
          <w:sz w:val="20"/>
          <w:szCs w:val="20"/>
          <w:color w:val="auto"/>
        </w:rPr>
      </w:pPr>
      <w:r>
        <w:rPr>
          <w:rFonts w:ascii="Times New Roman" w:cs="Times New Roman" w:eastAsia="Times New Roman" w:hAnsi="Times New Roman"/>
          <w:sz w:val="14"/>
          <w:szCs w:val="14"/>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46" w:lineRule="exact"/>
        <w:rPr>
          <w:sz w:val="20"/>
          <w:szCs w:val="20"/>
          <w:color w:val="auto"/>
        </w:rPr>
      </w:pPr>
    </w:p>
    <w:p>
      <w:pPr>
        <w:ind w:left="360" w:right="579"/>
        <w:spacing w:after="0" w:line="263" w:lineRule="auto"/>
        <w:rPr>
          <w:sz w:val="20"/>
          <w:szCs w:val="20"/>
          <w:color w:val="auto"/>
        </w:rPr>
      </w:pPr>
      <w:r>
        <w:rPr>
          <w:rFonts w:ascii="Times New Roman" w:cs="Times New Roman" w:eastAsia="Times New Roman" w:hAnsi="Times New Roman"/>
          <w:sz w:val="14"/>
          <w:szCs w:val="14"/>
          <w:color w:val="auto"/>
        </w:rPr>
        <w:t>“SEC” means the United States Securities and Exchange Commission as constituted from time to time, or any successor performing substantially the same functions.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“Securities” means the securities that are issued under this Indenture, as amended or supplemented from time to time pursuant to this Indenture.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“Securities Act” means the Securities Act of 1933, as amended.</w:t>
      </w:r>
    </w:p>
    <w:p>
      <w:pPr>
        <w:spacing w:after="0" w:line="165" w:lineRule="exact"/>
        <w:rPr>
          <w:sz w:val="20"/>
          <w:szCs w:val="20"/>
          <w:color w:val="auto"/>
        </w:rPr>
      </w:pPr>
    </w:p>
    <w:p>
      <w:pPr>
        <w:ind w:left="360" w:right="439"/>
        <w:spacing w:after="0" w:line="263" w:lineRule="auto"/>
        <w:rPr>
          <w:sz w:val="20"/>
          <w:szCs w:val="20"/>
          <w:color w:val="auto"/>
        </w:rPr>
      </w:pPr>
      <w:r>
        <w:rPr>
          <w:rFonts w:ascii="Times New Roman" w:cs="Times New Roman" w:eastAsia="Times New Roman" w:hAnsi="Times New Roman"/>
          <w:sz w:val="14"/>
          <w:szCs w:val="14"/>
          <w:color w:val="auto"/>
        </w:rPr>
        <w:t>“Series” or “Series of Securities” means each series of debentures, notes or other debt instruments of the Company created pursuant to Sections 2.1 and 2.2.</w:t>
      </w:r>
    </w:p>
    <w:p>
      <w:pPr>
        <w:spacing w:after="0" w:line="136" w:lineRule="exact"/>
        <w:rPr>
          <w:sz w:val="20"/>
          <w:szCs w:val="20"/>
          <w:color w:val="auto"/>
        </w:rPr>
      </w:pPr>
    </w:p>
    <w:p>
      <w:pPr>
        <w:ind w:left="360" w:right="379"/>
        <w:spacing w:after="0" w:line="249" w:lineRule="auto"/>
        <w:rPr>
          <w:sz w:val="20"/>
          <w:szCs w:val="20"/>
          <w:color w:val="auto"/>
        </w:rPr>
      </w:pPr>
      <w:r>
        <w:rPr>
          <w:rFonts w:ascii="Times New Roman" w:cs="Times New Roman" w:eastAsia="Times New Roman" w:hAnsi="Times New Roman"/>
          <w:sz w:val="14"/>
          <w:szCs w:val="14"/>
          <w:color w:val="auto"/>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146" w:lineRule="exact"/>
        <w:rPr>
          <w:sz w:val="20"/>
          <w:szCs w:val="20"/>
          <w:color w:val="auto"/>
        </w:rPr>
      </w:pPr>
    </w:p>
    <w:p>
      <w:pPr>
        <w:jc w:val="both"/>
        <w:ind w:left="360" w:right="579"/>
        <w:spacing w:after="0" w:line="249" w:lineRule="auto"/>
        <w:rPr>
          <w:sz w:val="20"/>
          <w:szCs w:val="20"/>
          <w:color w:val="auto"/>
        </w:rPr>
      </w:pPr>
      <w:r>
        <w:rPr>
          <w:rFonts w:ascii="Times New Roman" w:cs="Times New Roman" w:eastAsia="Times New Roman" w:hAnsi="Times New Roman"/>
          <w:sz w:val="14"/>
          <w:szCs w:val="14"/>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45" w:name="page46"/>
    <w:bookmarkEnd w:id="45"/>
    <w:p>
      <w:pPr>
        <w:ind w:left="360" w:right="3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150" w:lineRule="exact"/>
        <w:rPr>
          <w:sz w:val="20"/>
          <w:szCs w:val="20"/>
          <w:color w:val="auto"/>
        </w:rPr>
      </w:pPr>
    </w:p>
    <w:p>
      <w:pPr>
        <w:ind w:left="360" w:right="679"/>
        <w:spacing w:after="0" w:line="263" w:lineRule="auto"/>
        <w:rPr>
          <w:sz w:val="20"/>
          <w:szCs w:val="20"/>
          <w:color w:val="auto"/>
        </w:rPr>
      </w:pPr>
      <w:r>
        <w:rPr>
          <w:rFonts w:ascii="Times New Roman" w:cs="Times New Roman" w:eastAsia="Times New Roman" w:hAnsi="Times New Roman"/>
          <w:sz w:val="14"/>
          <w:szCs w:val="14"/>
          <w:color w:val="auto"/>
        </w:rPr>
        <w:t>“TIA” means the Trust Indenture Act of 1939 (15 U.S. Code Section 77aaa-77bbbb) as in effect on the date of this Indenture (except as provided in Section 8.3).</w:t>
      </w:r>
    </w:p>
    <w:p>
      <w:pPr>
        <w:spacing w:after="0" w:line="136" w:lineRule="exact"/>
        <w:rPr>
          <w:sz w:val="20"/>
          <w:szCs w:val="20"/>
          <w:color w:val="auto"/>
        </w:rPr>
      </w:pPr>
    </w:p>
    <w:p>
      <w:pPr>
        <w:ind w:left="360" w:right="479"/>
        <w:spacing w:after="0" w:line="253" w:lineRule="auto"/>
        <w:rPr>
          <w:sz w:val="20"/>
          <w:szCs w:val="20"/>
          <w:color w:val="auto"/>
        </w:rPr>
      </w:pPr>
      <w:r>
        <w:rPr>
          <w:rFonts w:ascii="Times New Roman" w:cs="Times New Roman" w:eastAsia="Times New Roman" w:hAnsi="Times New Roman"/>
          <w:sz w:val="14"/>
          <w:szCs w:val="14"/>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42" w:lineRule="exact"/>
        <w:rPr>
          <w:sz w:val="20"/>
          <w:szCs w:val="20"/>
          <w:color w:val="auto"/>
        </w:rPr>
      </w:pPr>
    </w:p>
    <w:p>
      <w:pPr>
        <w:ind w:left="360" w:right="379"/>
        <w:spacing w:after="0" w:line="263" w:lineRule="auto"/>
        <w:rPr>
          <w:sz w:val="20"/>
          <w:szCs w:val="20"/>
          <w:color w:val="auto"/>
        </w:rPr>
      </w:pPr>
      <w:r>
        <w:rPr>
          <w:rFonts w:ascii="Times New Roman" w:cs="Times New Roman" w:eastAsia="Times New Roman" w:hAnsi="Times New Roman"/>
          <w:sz w:val="14"/>
          <w:szCs w:val="14"/>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1.2. OTHER DEFINITIONS.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definitions of the following terms may be found in the sections indicated as follows:</w:t>
      </w:r>
    </w:p>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4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DEFINED IN</w:t>
            </w:r>
          </w:p>
        </w:tc>
        <w:tc>
          <w:tcPr>
            <w:tcW w:w="0" w:type="dxa"/>
            <w:vAlign w:val="bottom"/>
          </w:tcPr>
          <w:p>
            <w:pPr>
              <w:spacing w:after="0"/>
              <w:rPr>
                <w:sz w:val="1"/>
                <w:szCs w:val="1"/>
                <w:color w:val="auto"/>
              </w:rPr>
            </w:pPr>
          </w:p>
        </w:tc>
      </w:tr>
      <w:tr>
        <w:trPr>
          <w:trHeight w:val="131"/>
        </w:trPr>
        <w:tc>
          <w:tcPr>
            <w:tcW w:w="454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SECTION</w:t>
            </w:r>
          </w:p>
        </w:tc>
        <w:tc>
          <w:tcPr>
            <w:tcW w:w="0" w:type="dxa"/>
            <w:vAlign w:val="bottom"/>
          </w:tcPr>
          <w:p>
            <w:pPr>
              <w:spacing w:after="0"/>
              <w:rPr>
                <w:sz w:val="1"/>
                <w:szCs w:val="1"/>
                <w:color w:val="auto"/>
              </w:rPr>
            </w:pPr>
          </w:p>
        </w:tc>
      </w:tr>
      <w:tr>
        <w:trPr>
          <w:trHeight w:val="140"/>
        </w:trPr>
        <w:tc>
          <w:tcPr>
            <w:tcW w:w="45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“Bankruptcy Law”</w:t>
            </w:r>
          </w:p>
        </w:tc>
        <w:tc>
          <w:tcPr>
            <w:tcW w:w="30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“Covenant Defeasance”</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“Custodian”</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“Event of Default”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“Journal”</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“Judgment Currency”</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“Legal Defeasance”</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“Legal Holiday”</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“Market Exchange Rate”</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“New York Paying Agent”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“Paying Agent”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“Place of Payment”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“Registrar”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“Required Currency”</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“Service Agent”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1.3. INCORPORATION BY REFERENCE OF TRUST INDENTURE ACT.</w:t>
      </w:r>
    </w:p>
    <w:p>
      <w:pPr>
        <w:spacing w:after="0" w:line="87" w:lineRule="exact"/>
        <w:rPr>
          <w:sz w:val="20"/>
          <w:szCs w:val="20"/>
          <w:color w:val="auto"/>
        </w:rPr>
      </w:pPr>
    </w:p>
    <w:p>
      <w:pPr>
        <w:jc w:val="both"/>
        <w:ind w:left="360" w:right="519"/>
        <w:spacing w:after="0" w:line="253"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“Commission” means the SEC.</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“Indenture securities” means the Securities.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“Indenture securityholder” means a Holder or Securityholder.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46" w:name="page47"/>
    <w:bookmarkEnd w:id="46"/>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“Indenture to be qualified” means this Indenture.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“Indenture trustee” or “institutional trustee” means the Trustee.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“Obligor on the indenture securities” means the Company.</w:t>
      </w:r>
    </w:p>
    <w:p>
      <w:pPr>
        <w:spacing w:after="0" w:line="165" w:lineRule="exact"/>
        <w:rPr>
          <w:sz w:val="20"/>
          <w:szCs w:val="20"/>
          <w:color w:val="auto"/>
        </w:rPr>
      </w:pPr>
    </w:p>
    <w:p>
      <w:pPr>
        <w:ind w:left="360" w:right="619"/>
        <w:spacing w:after="0" w:line="263"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in the TIA by reference to another statute or defined by SEC rule have the meanings therein assigned to them.</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1.4. RULES OF CONSTRUCTION.</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83" w:lineRule="exact"/>
        <w:rPr>
          <w:sz w:val="20"/>
          <w:szCs w:val="20"/>
          <w:color w:val="auto"/>
        </w:rPr>
      </w:pPr>
    </w:p>
    <w:p>
      <w:pPr>
        <w:ind w:left="540" w:hanging="188"/>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 herein, whether defined expressly or by reference;</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is not exclusive;</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used herein implying any gender shall apply to each gender; and</w:t>
      </w:r>
    </w:p>
    <w:p>
      <w:pPr>
        <w:spacing w:after="0" w:line="164" w:lineRule="exact"/>
        <w:rPr>
          <w:rFonts w:ascii="Times New Roman" w:cs="Times New Roman" w:eastAsia="Times New Roman" w:hAnsi="Times New Roman"/>
          <w:sz w:val="14"/>
          <w:szCs w:val="14"/>
          <w:color w:val="auto"/>
        </w:rPr>
      </w:pPr>
    </w:p>
    <w:p>
      <w:pPr>
        <w:ind w:left="360" w:right="499" w:hanging="8"/>
        <w:spacing w:after="0" w:line="263" w:lineRule="auto"/>
        <w:tabs>
          <w:tab w:leader="none" w:pos="5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 ISSUABLE IN SERIES.</w:t>
      </w:r>
    </w:p>
    <w:p>
      <w:pPr>
        <w:spacing w:after="0" w:line="87" w:lineRule="exact"/>
        <w:rPr>
          <w:sz w:val="20"/>
          <w:szCs w:val="20"/>
          <w:color w:val="auto"/>
        </w:rPr>
      </w:pPr>
    </w:p>
    <w:p>
      <w:pPr>
        <w:ind w:left="360" w:right="419"/>
        <w:spacing w:after="0" w:line="296" w:lineRule="auto"/>
        <w:rPr>
          <w:sz w:val="20"/>
          <w:szCs w:val="20"/>
          <w:color w:val="auto"/>
        </w:rPr>
      </w:pPr>
      <w:r>
        <w:rPr>
          <w:rFonts w:ascii="Times New Roman" w:cs="Times New Roman" w:eastAsia="Times New Roman" w:hAnsi="Times New Roman"/>
          <w:sz w:val="12"/>
          <w:szCs w:val="12"/>
          <w:color w:val="auto"/>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2.2. ESTABLISHMENT OF TERMS OF SERIES OF SECURITIES.</w:t>
      </w:r>
    </w:p>
    <w:p>
      <w:pPr>
        <w:spacing w:after="0" w:line="87" w:lineRule="exact"/>
        <w:rPr>
          <w:sz w:val="20"/>
          <w:szCs w:val="20"/>
          <w:color w:val="auto"/>
        </w:rPr>
      </w:pPr>
    </w:p>
    <w:p>
      <w:pPr>
        <w:jc w:val="both"/>
        <w:ind w:left="360" w:right="379"/>
        <w:spacing w:after="0" w:line="253"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61" w:lineRule="exact"/>
        <w:rPr>
          <w:sz w:val="20"/>
          <w:szCs w:val="20"/>
          <w:color w:val="auto"/>
        </w:rPr>
      </w:pPr>
    </w:p>
    <w:p>
      <w:pPr>
        <w:ind w:left="540" w:hanging="188"/>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Securities of that particular Series from the Securities of any other Series);</w:t>
      </w:r>
    </w:p>
    <w:p>
      <w:pPr>
        <w:spacing w:after="0" w:line="164" w:lineRule="exact"/>
        <w:rPr>
          <w:rFonts w:ascii="Times New Roman" w:cs="Times New Roman" w:eastAsia="Times New Roman" w:hAnsi="Times New Roman"/>
          <w:sz w:val="14"/>
          <w:szCs w:val="14"/>
          <w:color w:val="auto"/>
        </w:rPr>
      </w:pPr>
    </w:p>
    <w:p>
      <w:pPr>
        <w:ind w:left="360" w:right="459" w:hanging="8"/>
        <w:spacing w:after="0" w:line="253" w:lineRule="auto"/>
        <w:tabs>
          <w:tab w:leader="none" w:pos="5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47" w:name="page48"/>
    <w:bookmarkEnd w:id="47"/>
    <w:p>
      <w:pPr>
        <w:ind w:left="540" w:hanging="188"/>
        <w:spacing w:after="0"/>
        <w:tabs>
          <w:tab w:leader="none" w:pos="5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price or prices (expressed as a percentage of the principal amount thereof) at which the Securities of the Series will be issued;</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64" w:lineRule="exact"/>
        <w:rPr>
          <w:rFonts w:ascii="Times New Roman" w:cs="Times New Roman" w:eastAsia="Times New Roman" w:hAnsi="Times New Roman"/>
          <w:sz w:val="14"/>
          <w:szCs w:val="14"/>
          <w:color w:val="auto"/>
        </w:rPr>
      </w:pPr>
    </w:p>
    <w:p>
      <w:pPr>
        <w:ind w:left="360" w:right="379" w:hanging="8"/>
        <w:spacing w:after="0" w:line="249" w:lineRule="auto"/>
        <w:tabs>
          <w:tab w:leader="none" w:pos="5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5" w:lineRule="exact"/>
        <w:rPr>
          <w:rFonts w:ascii="Times New Roman" w:cs="Times New Roman" w:eastAsia="Times New Roman" w:hAnsi="Times New Roman"/>
          <w:sz w:val="14"/>
          <w:szCs w:val="14"/>
          <w:color w:val="auto"/>
        </w:rPr>
      </w:pPr>
    </w:p>
    <w:p>
      <w:pPr>
        <w:ind w:left="360" w:right="539" w:hanging="8"/>
        <w:spacing w:after="0" w:line="263" w:lineRule="auto"/>
        <w:tabs>
          <w:tab w:leader="none" w:pos="5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interest and premium, if any, on, the Securities of the Series shall be payable, or the method of such payment, if by wire transfer, mail or other means;</w:t>
      </w:r>
    </w:p>
    <w:p>
      <w:pPr>
        <w:spacing w:after="0" w:line="135" w:lineRule="exact"/>
        <w:rPr>
          <w:rFonts w:ascii="Times New Roman" w:cs="Times New Roman" w:eastAsia="Times New Roman" w:hAnsi="Times New Roman"/>
          <w:sz w:val="14"/>
          <w:szCs w:val="14"/>
          <w:color w:val="auto"/>
        </w:rPr>
      </w:pPr>
    </w:p>
    <w:p>
      <w:pPr>
        <w:ind w:left="360" w:right="579" w:hanging="8"/>
        <w:spacing w:after="0" w:line="263" w:lineRule="auto"/>
        <w:tabs>
          <w:tab w:leader="none" w:pos="5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period or periods within which, the price or prices at which and the terms and conditions upon which the Securities of the Series may be redeemed, in whole or in part, at the option of the Company;</w:t>
      </w:r>
    </w:p>
    <w:p>
      <w:pPr>
        <w:spacing w:after="0" w:line="135" w:lineRule="exact"/>
        <w:rPr>
          <w:rFonts w:ascii="Times New Roman" w:cs="Times New Roman" w:eastAsia="Times New Roman" w:hAnsi="Times New Roman"/>
          <w:sz w:val="14"/>
          <w:szCs w:val="14"/>
          <w:color w:val="auto"/>
        </w:rPr>
      </w:pPr>
    </w:p>
    <w:p>
      <w:pPr>
        <w:jc w:val="both"/>
        <w:ind w:left="360" w:right="499" w:hanging="8"/>
        <w:spacing w:after="0" w:line="253" w:lineRule="auto"/>
        <w:tabs>
          <w:tab w:leader="none" w:pos="5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2" w:lineRule="exact"/>
        <w:rPr>
          <w:rFonts w:ascii="Times New Roman" w:cs="Times New Roman" w:eastAsia="Times New Roman" w:hAnsi="Times New Roman"/>
          <w:sz w:val="14"/>
          <w:szCs w:val="14"/>
          <w:color w:val="auto"/>
        </w:rPr>
      </w:pPr>
    </w:p>
    <w:p>
      <w:pPr>
        <w:ind w:left="360" w:right="759" w:hanging="8"/>
        <w:spacing w:after="0" w:line="263" w:lineRule="auto"/>
        <w:tabs>
          <w:tab w:leader="none" w:pos="5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35" w:lineRule="exact"/>
        <w:rPr>
          <w:rFonts w:ascii="Times New Roman" w:cs="Times New Roman" w:eastAsia="Times New Roman" w:hAnsi="Times New Roman"/>
          <w:sz w:val="14"/>
          <w:szCs w:val="14"/>
          <w:color w:val="auto"/>
        </w:rPr>
      </w:pPr>
    </w:p>
    <w:p>
      <w:pPr>
        <w:ind w:left="620" w:hanging="268"/>
        <w:spacing w:after="0"/>
        <w:tabs>
          <w:tab w:leader="none" w:pos="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denominations of $1,000 and any integral multiple thereof, the denominations in which the Securities of the Series shall be issuable;</w:t>
      </w:r>
    </w:p>
    <w:p>
      <w:pPr>
        <w:spacing w:after="0" w:line="187" w:lineRule="exact"/>
        <w:rPr>
          <w:rFonts w:ascii="Times New Roman" w:cs="Times New Roman" w:eastAsia="Times New Roman" w:hAnsi="Times New Roman"/>
          <w:sz w:val="12"/>
          <w:szCs w:val="12"/>
          <w:color w:val="auto"/>
        </w:rPr>
      </w:pPr>
    </w:p>
    <w:p>
      <w:pPr>
        <w:ind w:left="360" w:right="539" w:hanging="8"/>
        <w:spacing w:after="0" w:line="263" w:lineRule="auto"/>
        <w:tabs>
          <w:tab w:leader="none" w:pos="6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35" w:lineRule="exact"/>
        <w:rPr>
          <w:rFonts w:ascii="Times New Roman" w:cs="Times New Roman" w:eastAsia="Times New Roman" w:hAnsi="Times New Roman"/>
          <w:sz w:val="14"/>
          <w:szCs w:val="14"/>
          <w:color w:val="auto"/>
        </w:rPr>
      </w:pPr>
    </w:p>
    <w:p>
      <w:pPr>
        <w:ind w:left="360" w:right="499" w:hanging="8"/>
        <w:spacing w:after="0" w:line="263" w:lineRule="auto"/>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the Securities of the Series that shall be payable upon declaration of acceleration of the Maturity thereof pursuant to Section 6.2;</w:t>
      </w:r>
    </w:p>
    <w:p>
      <w:pPr>
        <w:spacing w:after="0" w:line="135" w:lineRule="exact"/>
        <w:rPr>
          <w:rFonts w:ascii="Times New Roman" w:cs="Times New Roman" w:eastAsia="Times New Roman" w:hAnsi="Times New Roman"/>
          <w:sz w:val="14"/>
          <w:szCs w:val="14"/>
          <w:color w:val="auto"/>
        </w:rPr>
      </w:pPr>
    </w:p>
    <w:p>
      <w:pPr>
        <w:ind w:left="360" w:right="399" w:hanging="8"/>
        <w:spacing w:after="0" w:line="253" w:lineRule="auto"/>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42" w:lineRule="exact"/>
        <w:rPr>
          <w:rFonts w:ascii="Times New Roman" w:cs="Times New Roman" w:eastAsia="Times New Roman" w:hAnsi="Times New Roman"/>
          <w:sz w:val="14"/>
          <w:szCs w:val="14"/>
          <w:color w:val="auto"/>
        </w:rPr>
      </w:pPr>
    </w:p>
    <w:p>
      <w:pPr>
        <w:ind w:left="360" w:right="879" w:hanging="8"/>
        <w:spacing w:after="0" w:line="263" w:lineRule="auto"/>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the principal of, and interest and premium, if any, on, the Securities of the Series will be made;</w:t>
      </w:r>
    </w:p>
    <w:p>
      <w:pPr>
        <w:spacing w:after="0" w:line="135" w:lineRule="exact"/>
        <w:rPr>
          <w:rFonts w:ascii="Times New Roman" w:cs="Times New Roman" w:eastAsia="Times New Roman" w:hAnsi="Times New Roman"/>
          <w:sz w:val="14"/>
          <w:szCs w:val="14"/>
          <w:color w:val="auto"/>
        </w:rPr>
      </w:pPr>
    </w:p>
    <w:p>
      <w:pPr>
        <w:ind w:left="360" w:right="379" w:hanging="8"/>
        <w:spacing w:after="0" w:line="253" w:lineRule="auto"/>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42" w:lineRule="exact"/>
        <w:rPr>
          <w:rFonts w:ascii="Times New Roman" w:cs="Times New Roman" w:eastAsia="Times New Roman" w:hAnsi="Times New Roman"/>
          <w:sz w:val="14"/>
          <w:szCs w:val="14"/>
          <w:color w:val="auto"/>
        </w:rPr>
      </w:pPr>
    </w:p>
    <w:p>
      <w:pPr>
        <w:ind w:left="360" w:right="479" w:hanging="8"/>
        <w:spacing w:after="0" w:line="253" w:lineRule="auto"/>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42" w:lineRule="exact"/>
        <w:rPr>
          <w:rFonts w:ascii="Times New Roman" w:cs="Times New Roman" w:eastAsia="Times New Roman" w:hAnsi="Times New Roman"/>
          <w:sz w:val="14"/>
          <w:szCs w:val="14"/>
          <w:color w:val="auto"/>
        </w:rPr>
      </w:pPr>
    </w:p>
    <w:p>
      <w:pPr>
        <w:ind w:left="620" w:hanging="268"/>
        <w:spacing w:after="0"/>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collateral provided for the Securities of the Series;</w:t>
      </w:r>
    </w:p>
    <w:p>
      <w:pPr>
        <w:spacing w:after="0" w:line="164" w:lineRule="exact"/>
        <w:rPr>
          <w:rFonts w:ascii="Times New Roman" w:cs="Times New Roman" w:eastAsia="Times New Roman" w:hAnsi="Times New Roman"/>
          <w:sz w:val="14"/>
          <w:szCs w:val="14"/>
          <w:color w:val="auto"/>
        </w:rPr>
      </w:pPr>
    </w:p>
    <w:p>
      <w:pPr>
        <w:ind w:left="620" w:hanging="268"/>
        <w:spacing w:after="0"/>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set forth in Articles 4 or 5 that applies to Securities of the Series;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48" w:name="page49"/>
    <w:bookmarkEnd w:id="48"/>
    <w:p>
      <w:pPr>
        <w:ind w:left="360" w:right="399" w:hanging="8"/>
        <w:spacing w:after="0" w:line="253" w:lineRule="auto"/>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w:t>
      </w:r>
    </w:p>
    <w:p>
      <w:pPr>
        <w:spacing w:after="0" w:line="142" w:lineRule="exact"/>
        <w:rPr>
          <w:rFonts w:ascii="Times New Roman" w:cs="Times New Roman" w:eastAsia="Times New Roman" w:hAnsi="Times New Roman"/>
          <w:sz w:val="14"/>
          <w:szCs w:val="14"/>
          <w:color w:val="auto"/>
        </w:rPr>
      </w:pPr>
    </w:p>
    <w:p>
      <w:pPr>
        <w:ind w:left="360" w:right="419" w:hanging="8"/>
        <w:spacing w:after="0" w:line="347" w:lineRule="auto"/>
        <w:tabs>
          <w:tab w:leader="none" w:pos="6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if any, for conversion of the Securities into or exchange of the Securities for shares of common stock, preferred stock, other debt securities or warrants for common stock, preferred stock or other securities of any kind of the Company that apply to Securities of the Series;</w:t>
      </w:r>
    </w:p>
    <w:p>
      <w:pPr>
        <w:spacing w:after="0" w:line="89" w:lineRule="exact"/>
        <w:rPr>
          <w:rFonts w:ascii="Times New Roman" w:cs="Times New Roman" w:eastAsia="Times New Roman" w:hAnsi="Times New Roman"/>
          <w:sz w:val="12"/>
          <w:szCs w:val="12"/>
          <w:color w:val="auto"/>
        </w:rPr>
      </w:pPr>
    </w:p>
    <w:p>
      <w:pPr>
        <w:ind w:left="360" w:right="419" w:hanging="8"/>
        <w:spacing w:after="0" w:line="263" w:lineRule="auto"/>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depositories, interest rate calculation agents, exchange rate calculation agents or other agents with respect to Securities of such Series if other than those appointed herein;</w:t>
      </w:r>
    </w:p>
    <w:p>
      <w:pPr>
        <w:spacing w:after="0" w:line="135" w:lineRule="exact"/>
        <w:rPr>
          <w:rFonts w:ascii="Times New Roman" w:cs="Times New Roman" w:eastAsia="Times New Roman" w:hAnsi="Times New Roman"/>
          <w:sz w:val="14"/>
          <w:szCs w:val="14"/>
          <w:color w:val="auto"/>
        </w:rPr>
      </w:pPr>
    </w:p>
    <w:p>
      <w:pPr>
        <w:ind w:left="620" w:hanging="268"/>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the Securities shall be subordinated in right of payment to other Indebtedness of the Company;</w:t>
      </w:r>
    </w:p>
    <w:p>
      <w:pPr>
        <w:spacing w:after="0" w:line="164" w:lineRule="exact"/>
        <w:rPr>
          <w:rFonts w:ascii="Times New Roman" w:cs="Times New Roman" w:eastAsia="Times New Roman" w:hAnsi="Times New Roman"/>
          <w:sz w:val="14"/>
          <w:szCs w:val="14"/>
          <w:color w:val="auto"/>
        </w:rPr>
      </w:pPr>
    </w:p>
    <w:p>
      <w:pPr>
        <w:ind w:left="620" w:hanging="268"/>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that the Securities of the Series, in whole or any specified part, shall be defeasible pursuant to Article 9; and</w:t>
      </w:r>
    </w:p>
    <w:p>
      <w:pPr>
        <w:spacing w:after="0" w:line="164" w:lineRule="exact"/>
        <w:rPr>
          <w:rFonts w:ascii="Times New Roman" w:cs="Times New Roman" w:eastAsia="Times New Roman" w:hAnsi="Times New Roman"/>
          <w:sz w:val="14"/>
          <w:szCs w:val="14"/>
          <w:color w:val="auto"/>
        </w:rPr>
      </w:pPr>
    </w:p>
    <w:p>
      <w:pPr>
        <w:ind w:left="360" w:right="559" w:hanging="8"/>
        <w:spacing w:after="0" w:line="263" w:lineRule="auto"/>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36" w:lineRule="exact"/>
        <w:rPr>
          <w:sz w:val="20"/>
          <w:szCs w:val="20"/>
          <w:color w:val="auto"/>
        </w:rPr>
      </w:pPr>
    </w:p>
    <w:p>
      <w:pPr>
        <w:ind w:left="360" w:right="439"/>
        <w:spacing w:after="0" w:line="249"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2.3. EXECUTION AND AUTHENTICATION.</w:t>
      </w:r>
    </w:p>
    <w:p>
      <w:pPr>
        <w:spacing w:after="0" w:line="87" w:lineRule="exact"/>
        <w:rPr>
          <w:sz w:val="20"/>
          <w:szCs w:val="20"/>
          <w:color w:val="auto"/>
        </w:rPr>
      </w:pPr>
    </w:p>
    <w:p>
      <w:pPr>
        <w:jc w:val="both"/>
        <w:ind w:left="360" w:right="499"/>
        <w:spacing w:after="0" w:line="253" w:lineRule="auto"/>
        <w:rPr>
          <w:sz w:val="20"/>
          <w:szCs w:val="20"/>
          <w:color w:val="auto"/>
        </w:rPr>
      </w:pPr>
      <w:r>
        <w:rPr>
          <w:rFonts w:ascii="Times New Roman" w:cs="Times New Roman" w:eastAsia="Times New Roman" w:hAnsi="Times New Roman"/>
          <w:sz w:val="14"/>
          <w:szCs w:val="14"/>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142" w:lineRule="exact"/>
        <w:rPr>
          <w:sz w:val="20"/>
          <w:szCs w:val="20"/>
          <w:color w:val="auto"/>
        </w:rPr>
      </w:pPr>
    </w:p>
    <w:p>
      <w:pPr>
        <w:ind w:left="360" w:right="699"/>
        <w:spacing w:after="0" w:line="263" w:lineRule="auto"/>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36" w:lineRule="exact"/>
        <w:rPr>
          <w:sz w:val="20"/>
          <w:szCs w:val="20"/>
          <w:color w:val="auto"/>
        </w:rPr>
      </w:pPr>
    </w:p>
    <w:p>
      <w:pPr>
        <w:ind w:left="360" w:right="439"/>
        <w:spacing w:after="0" w:line="246"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150" w:lineRule="exact"/>
        <w:rPr>
          <w:sz w:val="20"/>
          <w:szCs w:val="20"/>
          <w:color w:val="auto"/>
        </w:rPr>
      </w:pPr>
    </w:p>
    <w:p>
      <w:pPr>
        <w:ind w:left="360" w:right="539"/>
        <w:spacing w:after="0" w:line="253"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42" w:lineRule="exact"/>
        <w:rPr>
          <w:sz w:val="20"/>
          <w:szCs w:val="20"/>
          <w:color w:val="auto"/>
        </w:rPr>
      </w:pPr>
    </w:p>
    <w:p>
      <w:pPr>
        <w:ind w:left="360" w:right="399"/>
        <w:spacing w:after="0" w:line="249" w:lineRule="auto"/>
        <w:rPr>
          <w:sz w:val="20"/>
          <w:szCs w:val="20"/>
          <w:color w:val="auto"/>
        </w:rPr>
      </w:pPr>
      <w:r>
        <w:rPr>
          <w:rFonts w:ascii="Times New Roman" w:cs="Times New Roman" w:eastAsia="Times New Roman" w:hAnsi="Times New Roman"/>
          <w:sz w:val="14"/>
          <w:szCs w:val="14"/>
          <w:color w:val="auto"/>
        </w:rPr>
        <w:t>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49" w:name="page50"/>
    <w:bookmarkEnd w:id="49"/>
    <w:p>
      <w:pPr>
        <w:ind w:left="360" w:right="4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146" w:lineRule="exact"/>
        <w:rPr>
          <w:sz w:val="20"/>
          <w:szCs w:val="20"/>
          <w:color w:val="auto"/>
        </w:rPr>
      </w:pPr>
    </w:p>
    <w:p>
      <w:pPr>
        <w:ind w:left="360" w:right="419"/>
        <w:spacing w:after="0" w:line="249"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2.4. REGISTRAR AND PAYING AGENT.</w:t>
      </w:r>
    </w:p>
    <w:p>
      <w:pPr>
        <w:spacing w:after="0" w:line="87" w:lineRule="exact"/>
        <w:rPr>
          <w:sz w:val="20"/>
          <w:szCs w:val="20"/>
          <w:color w:val="auto"/>
        </w:rPr>
      </w:pPr>
    </w:p>
    <w:p>
      <w:pPr>
        <w:ind w:left="360" w:right="439"/>
        <w:spacing w:after="0" w:line="289" w:lineRule="auto"/>
        <w:rPr>
          <w:sz w:val="20"/>
          <w:szCs w:val="20"/>
          <w:color w:val="auto"/>
        </w:rPr>
      </w:pPr>
      <w:r>
        <w:rPr>
          <w:rFonts w:ascii="Times New Roman" w:cs="Times New Roman" w:eastAsia="Times New Roman" w:hAnsi="Times New Roman"/>
          <w:sz w:val="12"/>
          <w:szCs w:val="12"/>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spacing w:after="0" w:line="289" w:lineRule="exact"/>
        <w:rPr>
          <w:sz w:val="20"/>
          <w:szCs w:val="20"/>
          <w:color w:val="auto"/>
        </w:rPr>
      </w:pPr>
    </w:p>
    <w:p>
      <w:pPr>
        <w:jc w:val="both"/>
        <w:ind w:left="360" w:right="379"/>
        <w:spacing w:after="0" w:line="290" w:lineRule="auto"/>
        <w:rPr>
          <w:sz w:val="20"/>
          <w:szCs w:val="20"/>
          <w:color w:val="auto"/>
        </w:rPr>
      </w:pPr>
      <w:r>
        <w:rPr>
          <w:rFonts w:ascii="Times New Roman" w:cs="Times New Roman" w:eastAsia="Times New Roman" w:hAnsi="Times New Roman"/>
          <w:sz w:val="12"/>
          <w:szCs w:val="12"/>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w:t>
      </w:r>
    </w:p>
    <w:p>
      <w:pPr>
        <w:ind w:left="360" w:right="679"/>
        <w:spacing w:after="0" w:line="245" w:lineRule="auto"/>
        <w:rPr>
          <w:sz w:val="20"/>
          <w:szCs w:val="20"/>
          <w:color w:val="auto"/>
        </w:rPr>
      </w:pPr>
      <w:r>
        <w:rPr>
          <w:rFonts w:ascii="Times New Roman" w:cs="Times New Roman" w:eastAsia="Times New Roman" w:hAnsi="Times New Roman"/>
          <w:sz w:val="14"/>
          <w:szCs w:val="14"/>
          <w:color w:val="auto"/>
        </w:rPr>
        <w:t>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48" w:lineRule="exact"/>
        <w:rPr>
          <w:sz w:val="20"/>
          <w:szCs w:val="20"/>
          <w:color w:val="auto"/>
        </w:rPr>
      </w:pPr>
    </w:p>
    <w:p>
      <w:pPr>
        <w:ind w:left="360" w:right="479"/>
        <w:spacing w:after="0" w:line="246" w:lineRule="auto"/>
        <w:rPr>
          <w:sz w:val="20"/>
          <w:szCs w:val="20"/>
          <w:color w:val="auto"/>
        </w:rPr>
      </w:pPr>
      <w:r>
        <w:rPr>
          <w:rFonts w:ascii="Times New Roman" w:cs="Times New Roman" w:eastAsia="Times New Roman" w:hAnsi="Times New Roman"/>
          <w:sz w:val="14"/>
          <w:szCs w:val="14"/>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 The Company designates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as the New York Paying Agent, with offices at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-19050</wp:posOffset>
            </wp:positionV>
            <wp:extent cx="8636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-19050</wp:posOffset>
            </wp:positionV>
            <wp:extent cx="8636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86360" cy="6350"/>
                    </a:xfrm>
                    <a:prstGeom prst="rect">
                      <a:avLst/>
                    </a:prstGeom>
                    <a:noFill/>
                  </pic:spPr>
                </pic:pic>
              </a:graphicData>
            </a:graphic>
          </wp:anchor>
        </w:drawing>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2.5. PAYING AGENT TO HOLD ASSETS IN TRUST.</w:t>
      </w:r>
    </w:p>
    <w:p>
      <w:pPr>
        <w:spacing w:after="0" w:line="87" w:lineRule="exact"/>
        <w:rPr>
          <w:sz w:val="20"/>
          <w:szCs w:val="20"/>
          <w:color w:val="auto"/>
        </w:rPr>
      </w:pPr>
    </w:p>
    <w:p>
      <w:pPr>
        <w:ind w:left="360" w:right="439"/>
        <w:spacing w:after="0" w:line="247" w:lineRule="auto"/>
        <w:rPr>
          <w:sz w:val="20"/>
          <w:szCs w:val="20"/>
          <w:color w:val="auto"/>
        </w:rPr>
      </w:pPr>
      <w:r>
        <w:rPr>
          <w:rFonts w:ascii="Times New Roman" w:cs="Times New Roman" w:eastAsia="Times New Roman" w:hAnsi="Times New Roman"/>
          <w:sz w:val="14"/>
          <w:szCs w:val="14"/>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50" w:name="page51"/>
    <w:bookmarkEnd w:id="50"/>
    <w:p>
      <w:pPr>
        <w:ind w:left="360" w:right="49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2.6. SECURITYHOLDER LISTS.</w:t>
      </w:r>
    </w:p>
    <w:p>
      <w:pPr>
        <w:spacing w:after="0" w:line="87" w:lineRule="exact"/>
        <w:rPr>
          <w:sz w:val="20"/>
          <w:szCs w:val="20"/>
          <w:color w:val="auto"/>
        </w:rPr>
      </w:pPr>
    </w:p>
    <w:p>
      <w:pPr>
        <w:ind w:left="360" w:right="539"/>
        <w:spacing w:after="0" w:line="247"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2.7. TRANSFER AND EXCHANGE.</w:t>
      </w:r>
    </w:p>
    <w:p>
      <w:pPr>
        <w:spacing w:after="0" w:line="87" w:lineRule="exact"/>
        <w:rPr>
          <w:sz w:val="20"/>
          <w:szCs w:val="20"/>
          <w:color w:val="auto"/>
        </w:rPr>
      </w:pPr>
    </w:p>
    <w:p>
      <w:pPr>
        <w:ind w:left="360" w:right="519"/>
        <w:spacing w:after="0" w:line="247" w:lineRule="auto"/>
        <w:rPr>
          <w:sz w:val="20"/>
          <w:szCs w:val="20"/>
          <w:color w:val="auto"/>
        </w:rPr>
      </w:pPr>
      <w:r>
        <w:rPr>
          <w:rFonts w:ascii="Times New Roman" w:cs="Times New Roman" w:eastAsia="Times New Roman" w:hAnsi="Times New Roman"/>
          <w:sz w:val="14"/>
          <w:szCs w:val="14"/>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Securities are issued as Global Securities, the provisions of Section 2.15 shall apply.</w:t>
      </w:r>
    </w:p>
    <w:p>
      <w:pPr>
        <w:spacing w:after="0" w:line="165" w:lineRule="exact"/>
        <w:rPr>
          <w:sz w:val="20"/>
          <w:szCs w:val="20"/>
          <w:color w:val="auto"/>
        </w:rPr>
      </w:pPr>
    </w:p>
    <w:p>
      <w:pPr>
        <w:ind w:left="360" w:right="399"/>
        <w:spacing w:after="0" w:line="263" w:lineRule="auto"/>
        <w:rPr>
          <w:sz w:val="20"/>
          <w:szCs w:val="20"/>
          <w:color w:val="auto"/>
        </w:rPr>
      </w:pPr>
      <w:r>
        <w:rPr>
          <w:rFonts w:ascii="Times New Roman" w:cs="Times New Roman" w:eastAsia="Times New Roman" w:hAnsi="Times New Roman"/>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36" w:lineRule="exact"/>
        <w:rPr>
          <w:sz w:val="20"/>
          <w:szCs w:val="20"/>
          <w:color w:val="auto"/>
        </w:rPr>
      </w:pPr>
    </w:p>
    <w:p>
      <w:pPr>
        <w:ind w:left="360" w:right="859"/>
        <w:spacing w:after="0" w:line="253" w:lineRule="auto"/>
        <w:rPr>
          <w:sz w:val="20"/>
          <w:szCs w:val="20"/>
          <w:color w:val="auto"/>
        </w:rPr>
      </w:pPr>
      <w:r>
        <w:rPr>
          <w:rFonts w:ascii="Times New Roman" w:cs="Times New Roman" w:eastAsia="Times New Roman" w:hAnsi="Times New Roman"/>
          <w:sz w:val="14"/>
          <w:szCs w:val="14"/>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42" w:lineRule="exact"/>
        <w:rPr>
          <w:sz w:val="20"/>
          <w:szCs w:val="20"/>
          <w:color w:val="auto"/>
        </w:rPr>
      </w:pPr>
    </w:p>
    <w:p>
      <w:pPr>
        <w:ind w:left="360" w:right="519"/>
        <w:spacing w:after="0" w:line="246" w:lineRule="auto"/>
        <w:rPr>
          <w:sz w:val="20"/>
          <w:szCs w:val="20"/>
          <w:color w:val="auto"/>
        </w:rPr>
      </w:pPr>
      <w:r>
        <w:rPr>
          <w:rFonts w:ascii="Times New Roman" w:cs="Times New Roman" w:eastAsia="Times New Roman" w:hAnsi="Times New Roman"/>
          <w:sz w:val="14"/>
          <w:szCs w:val="14"/>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2.8. REPLACEMENT SECURITIES.</w:t>
      </w:r>
    </w:p>
    <w:p>
      <w:pPr>
        <w:spacing w:after="0" w:line="87" w:lineRule="exact"/>
        <w:rPr>
          <w:sz w:val="20"/>
          <w:szCs w:val="20"/>
          <w:color w:val="auto"/>
        </w:rPr>
      </w:pPr>
    </w:p>
    <w:p>
      <w:pPr>
        <w:ind w:left="360" w:right="419"/>
        <w:spacing w:after="0" w:line="292" w:lineRule="auto"/>
        <w:rPr>
          <w:sz w:val="20"/>
          <w:szCs w:val="20"/>
          <w:color w:val="auto"/>
        </w:rPr>
      </w:pPr>
      <w:r>
        <w:rPr>
          <w:rFonts w:ascii="Times New Roman" w:cs="Times New Roman" w:eastAsia="Times New Roman" w:hAnsi="Times New Roman"/>
          <w:sz w:val="12"/>
          <w:szCs w:val="12"/>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51" w:name="page52"/>
    <w:bookmarkEnd w:id="51"/>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04710" cy="32385"/>
                    </a:xfrm>
                    <a:prstGeom prst="rect">
                      <a:avLst/>
                    </a:prstGeom>
                    <a:noFill/>
                  </pic:spPr>
                </pic:pic>
              </a:graphicData>
            </a:graphic>
          </wp:anchor>
        </w:drawing>
        <w:t>2.9. OUTSTANDING SECURITIES.</w:t>
      </w:r>
    </w:p>
    <w:p>
      <w:pPr>
        <w:spacing w:after="0" w:line="87" w:lineRule="exact"/>
        <w:rPr>
          <w:sz w:val="20"/>
          <w:szCs w:val="20"/>
          <w:color w:val="auto"/>
        </w:rPr>
      </w:pPr>
    </w:p>
    <w:p>
      <w:pPr>
        <w:ind w:left="360" w:right="579"/>
        <w:spacing w:after="0" w:line="263" w:lineRule="auto"/>
        <w:rPr>
          <w:sz w:val="20"/>
          <w:szCs w:val="20"/>
          <w:color w:val="auto"/>
        </w:rPr>
      </w:pPr>
      <w:r>
        <w:rPr>
          <w:rFonts w:ascii="Times New Roman" w:cs="Times New Roman" w:eastAsia="Times New Roman" w:hAnsi="Times New Roman"/>
          <w:sz w:val="14"/>
          <w:szCs w:val="14"/>
          <w:color w:val="auto"/>
        </w:rPr>
        <w:t>Securities outstanding at any time are all Securities authenticated by the Trustee, except for those canceled by it, those delivered to it for cancellation and those described in this Section 2.9 as not outstanding.</w:t>
      </w:r>
    </w:p>
    <w:p>
      <w:pPr>
        <w:spacing w:after="0" w:line="136" w:lineRule="exact"/>
        <w:rPr>
          <w:sz w:val="20"/>
          <w:szCs w:val="20"/>
          <w:color w:val="auto"/>
        </w:rPr>
      </w:pPr>
    </w:p>
    <w:p>
      <w:pPr>
        <w:ind w:left="360" w:right="619"/>
        <w:spacing w:after="0" w:line="253" w:lineRule="auto"/>
        <w:rPr>
          <w:sz w:val="20"/>
          <w:szCs w:val="20"/>
          <w:color w:val="auto"/>
        </w:rPr>
      </w:pPr>
      <w:r>
        <w:rPr>
          <w:rFonts w:ascii="Times New Roman" w:cs="Times New Roman" w:eastAsia="Times New Roman" w:hAnsi="Times New Roman"/>
          <w:sz w:val="14"/>
          <w:szCs w:val="14"/>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42" w:lineRule="exact"/>
        <w:rPr>
          <w:sz w:val="20"/>
          <w:szCs w:val="20"/>
          <w:color w:val="auto"/>
        </w:rPr>
      </w:pPr>
    </w:p>
    <w:p>
      <w:pPr>
        <w:ind w:left="360" w:right="439"/>
        <w:spacing w:after="0" w:line="304" w:lineRule="auto"/>
        <w:rPr>
          <w:sz w:val="20"/>
          <w:szCs w:val="20"/>
          <w:color w:val="auto"/>
        </w:rPr>
      </w:pPr>
      <w:r>
        <w:rPr>
          <w:rFonts w:ascii="Times New Roman" w:cs="Times New Roman" w:eastAsia="Times New Roman" w:hAnsi="Times New Roman"/>
          <w:sz w:val="12"/>
          <w:szCs w:val="12"/>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Security does not cease to be outstanding solely because the Company or an Affiliate holds the Security.</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2.10. WHEN TREASURY SECURITIES DISREGARDED; DETERMINATION OF HOLDERS’ ACTION.</w:t>
      </w:r>
    </w:p>
    <w:p>
      <w:pPr>
        <w:spacing w:after="0" w:line="87" w:lineRule="exact"/>
        <w:rPr>
          <w:sz w:val="20"/>
          <w:szCs w:val="20"/>
          <w:color w:val="auto"/>
        </w:rPr>
      </w:pPr>
    </w:p>
    <w:p>
      <w:pPr>
        <w:ind w:left="360" w:right="379"/>
        <w:spacing w:after="0" w:line="296" w:lineRule="auto"/>
        <w:rPr>
          <w:sz w:val="20"/>
          <w:szCs w:val="20"/>
          <w:color w:val="auto"/>
        </w:rPr>
      </w:pPr>
      <w:r>
        <w:rPr>
          <w:rFonts w:ascii="Times New Roman" w:cs="Times New Roman" w:eastAsia="Times New Roman" w:hAnsi="Times New Roman"/>
          <w:sz w:val="12"/>
          <w:szCs w:val="12"/>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2.11. TEMPORARY SECURITIES.</w:t>
      </w:r>
    </w:p>
    <w:p>
      <w:pPr>
        <w:spacing w:after="0" w:line="87" w:lineRule="exact"/>
        <w:rPr>
          <w:sz w:val="20"/>
          <w:szCs w:val="20"/>
          <w:color w:val="auto"/>
        </w:rPr>
      </w:pPr>
    </w:p>
    <w:p>
      <w:pPr>
        <w:ind w:left="360" w:right="459"/>
        <w:spacing w:after="0" w:line="249"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2.12. CANCELLATION.</w:t>
      </w:r>
    </w:p>
    <w:p>
      <w:pPr>
        <w:spacing w:after="0" w:line="87" w:lineRule="exact"/>
        <w:rPr>
          <w:sz w:val="20"/>
          <w:szCs w:val="20"/>
          <w:color w:val="auto"/>
        </w:rPr>
      </w:pPr>
    </w:p>
    <w:p>
      <w:pPr>
        <w:ind w:left="360" w:right="439"/>
        <w:spacing w:after="0" w:line="290" w:lineRule="auto"/>
        <w:rPr>
          <w:sz w:val="20"/>
          <w:szCs w:val="20"/>
          <w:color w:val="auto"/>
        </w:rPr>
      </w:pPr>
      <w:r>
        <w:rPr>
          <w:rFonts w:ascii="Times New Roman" w:cs="Times New Roman" w:eastAsia="Times New Roman" w:hAnsi="Times New Roman"/>
          <w:sz w:val="12"/>
          <w:szCs w:val="12"/>
          <w:color w:val="auto"/>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5" w:right="1440" w:bottom="1440" w:gutter="0" w:footer="0" w:header="0"/>
        </w:sectPr>
      </w:pPr>
    </w:p>
    <w:bookmarkStart w:id="52" w:name="page53"/>
    <w:bookmarkEnd w:id="52"/>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2.13. PAYMENT OF INTEREST; DEFAULTED INTEREST; COMPUTATION OF INTEREST.</w:t>
      </w:r>
    </w:p>
    <w:p>
      <w:pPr>
        <w:spacing w:after="0" w:line="87" w:lineRule="exact"/>
        <w:rPr>
          <w:sz w:val="20"/>
          <w:szCs w:val="20"/>
          <w:color w:val="auto"/>
        </w:rPr>
      </w:pPr>
    </w:p>
    <w:p>
      <w:pPr>
        <w:ind w:left="360" w:right="519"/>
        <w:spacing w:after="0" w:line="249" w:lineRule="auto"/>
        <w:rPr>
          <w:sz w:val="20"/>
          <w:szCs w:val="20"/>
          <w:color w:val="auto"/>
        </w:rPr>
      </w:pPr>
      <w:r>
        <w:rPr>
          <w:rFonts w:ascii="Times New Roman" w:cs="Times New Roman" w:eastAsia="Times New Roman" w:hAnsi="Times New Roman"/>
          <w:sz w:val="14"/>
          <w:szCs w:val="14"/>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46" w:lineRule="exact"/>
        <w:rPr>
          <w:sz w:val="20"/>
          <w:szCs w:val="20"/>
          <w:color w:val="auto"/>
        </w:rPr>
      </w:pPr>
    </w:p>
    <w:p>
      <w:pPr>
        <w:ind w:left="360" w:right="439"/>
        <w:spacing w:after="0" w:line="299" w:lineRule="auto"/>
        <w:rPr>
          <w:sz w:val="20"/>
          <w:szCs w:val="20"/>
          <w:color w:val="auto"/>
        </w:rPr>
      </w:pPr>
      <w:r>
        <w:rPr>
          <w:rFonts w:ascii="Times New Roman" w:cs="Times New Roman" w:eastAsia="Times New Roman" w:hAnsi="Times New Roman"/>
          <w:sz w:val="12"/>
          <w:szCs w:val="12"/>
          <w:color w:val="auto"/>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deliver, or cause to be delivered, to each Securityholder, with a copy to the Trustee, a notice that states the special record date, the payment date and the amount of defaulted interest, and interest payable on such defaulted interest, if any, to be paid.</w:t>
      </w:r>
    </w:p>
    <w:p>
      <w:pPr>
        <w:spacing w:after="0" w:line="117" w:lineRule="exact"/>
        <w:rPr>
          <w:sz w:val="20"/>
          <w:szCs w:val="20"/>
          <w:color w:val="auto"/>
        </w:rPr>
      </w:pPr>
    </w:p>
    <w:p>
      <w:pPr>
        <w:ind w:left="360" w:right="439"/>
        <w:spacing w:after="0" w:line="263" w:lineRule="auto"/>
        <w:rPr>
          <w:sz w:val="20"/>
          <w:szCs w:val="20"/>
          <w:color w:val="auto"/>
        </w:rPr>
      </w:pPr>
      <w:r>
        <w:rPr>
          <w:rFonts w:ascii="Times New Roman" w:cs="Times New Roman" w:eastAsia="Times New Roman" w:hAnsi="Times New Roman"/>
          <w:sz w:val="14"/>
          <w:szCs w:val="14"/>
          <w:color w:val="auto"/>
        </w:rPr>
        <w:t>Except as otherwise specified as contemplated by Section 2.2 for Securities of any Series, interest on the Securities of each Series shall be computed on the basis of a 360-day year of twelve 30-day months.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2.14. CUSIP NUMBER.</w:t>
      </w:r>
    </w:p>
    <w:p>
      <w:pPr>
        <w:spacing w:after="0" w:line="87" w:lineRule="exact"/>
        <w:rPr>
          <w:sz w:val="20"/>
          <w:szCs w:val="20"/>
          <w:color w:val="auto"/>
        </w:rPr>
      </w:pPr>
    </w:p>
    <w:p>
      <w:pPr>
        <w:ind w:left="360" w:right="359"/>
        <w:spacing w:after="0" w:line="247" w:lineRule="auto"/>
        <w:rPr>
          <w:sz w:val="20"/>
          <w:szCs w:val="20"/>
          <w:color w:val="auto"/>
        </w:rPr>
      </w:pPr>
      <w:r>
        <w:rPr>
          <w:rFonts w:ascii="Times New Roman" w:cs="Times New Roman" w:eastAsia="Times New Roman" w:hAnsi="Times New Roman"/>
          <w:sz w:val="14"/>
          <w:szCs w:val="14"/>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2.15. PROVISIONS FOR GLOBAL SECURITIES.</w:t>
      </w:r>
    </w:p>
    <w:p>
      <w:pPr>
        <w:spacing w:after="0" w:line="87" w:lineRule="exact"/>
        <w:rPr>
          <w:sz w:val="20"/>
          <w:szCs w:val="20"/>
          <w:color w:val="auto"/>
        </w:rPr>
      </w:pPr>
    </w:p>
    <w:p>
      <w:pPr>
        <w:ind w:left="360" w:right="559" w:hanging="8"/>
        <w:spacing w:after="0" w:line="263" w:lineRule="auto"/>
        <w:tabs>
          <w:tab w:leader="none" w:pos="54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35" w:lineRule="exact"/>
        <w:rPr>
          <w:rFonts w:ascii="Times New Roman" w:cs="Times New Roman" w:eastAsia="Times New Roman" w:hAnsi="Times New Roman"/>
          <w:sz w:val="14"/>
          <w:szCs w:val="14"/>
          <w:color w:val="auto"/>
        </w:rPr>
      </w:pPr>
    </w:p>
    <w:p>
      <w:pPr>
        <w:ind w:left="360" w:right="379" w:hanging="8"/>
        <w:spacing w:after="0" w:line="289" w:lineRule="auto"/>
        <w:tabs>
          <w:tab w:leader="none" w:pos="552"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5" w:right="1440" w:bottom="1440" w:gutter="0" w:footer="0" w:header="0"/>
        </w:sectPr>
      </w:pPr>
    </w:p>
    <w:bookmarkStart w:id="53" w:name="page54"/>
    <w:bookmarkEnd w:id="53"/>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 Any Global Security issued hereunder shall bear a legend in substantially the following form:</w:t>
      </w:r>
    </w:p>
    <w:p>
      <w:pPr>
        <w:spacing w:after="0" w:line="83"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48" w:lineRule="exact"/>
        <w:rPr>
          <w:sz w:val="20"/>
          <w:szCs w:val="20"/>
          <w:color w:val="auto"/>
        </w:rPr>
      </w:pPr>
    </w:p>
    <w:p>
      <w:pPr>
        <w:ind w:left="360" w:right="499" w:hanging="8"/>
        <w:spacing w:after="0" w:line="263" w:lineRule="auto"/>
        <w:tabs>
          <w:tab w:leader="none" w:pos="5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35" w:lineRule="exact"/>
        <w:rPr>
          <w:rFonts w:ascii="Times New Roman" w:cs="Times New Roman" w:eastAsia="Times New Roman" w:hAnsi="Times New Roman"/>
          <w:sz w:val="14"/>
          <w:szCs w:val="14"/>
          <w:color w:val="auto"/>
        </w:rPr>
      </w:pPr>
    </w:p>
    <w:p>
      <w:pPr>
        <w:ind w:left="360" w:right="519" w:hanging="8"/>
        <w:spacing w:after="0" w:line="263" w:lineRule="auto"/>
        <w:tabs>
          <w:tab w:leader="none" w:pos="54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35" w:lineRule="exact"/>
        <w:rPr>
          <w:rFonts w:ascii="Times New Roman" w:cs="Times New Roman" w:eastAsia="Times New Roman" w:hAnsi="Times New Roman"/>
          <w:sz w:val="14"/>
          <w:szCs w:val="14"/>
          <w:color w:val="auto"/>
        </w:rPr>
      </w:pPr>
    </w:p>
    <w:p>
      <w:pPr>
        <w:ind w:left="360" w:right="419" w:hanging="8"/>
        <w:spacing w:after="0" w:line="293" w:lineRule="auto"/>
        <w:tabs>
          <w:tab w:leader="none" w:pos="529"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2.16. PERSONS DEEMED OWNERS.</w:t>
      </w:r>
    </w:p>
    <w:p>
      <w:pPr>
        <w:spacing w:after="0" w:line="87" w:lineRule="exact"/>
        <w:rPr>
          <w:sz w:val="20"/>
          <w:szCs w:val="20"/>
          <w:color w:val="auto"/>
        </w:rPr>
      </w:pPr>
    </w:p>
    <w:p>
      <w:pPr>
        <w:ind w:left="360" w:right="439"/>
        <w:spacing w:after="0" w:line="304" w:lineRule="auto"/>
        <w:rPr>
          <w:sz w:val="20"/>
          <w:szCs w:val="20"/>
          <w:color w:val="auto"/>
        </w:rPr>
      </w:pPr>
      <w:r>
        <w:rPr>
          <w:rFonts w:ascii="Times New Roman" w:cs="Times New Roman" w:eastAsia="Times New Roman" w:hAnsi="Times New Roman"/>
          <w:sz w:val="12"/>
          <w:szCs w:val="12"/>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3 –</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3.1. NOTICES TO TRUSTEE.</w:t>
      </w:r>
    </w:p>
    <w:p>
      <w:pPr>
        <w:spacing w:after="0" w:line="87" w:lineRule="exact"/>
        <w:rPr>
          <w:sz w:val="20"/>
          <w:szCs w:val="20"/>
          <w:color w:val="auto"/>
        </w:rPr>
      </w:pPr>
    </w:p>
    <w:p>
      <w:pPr>
        <w:ind w:left="360" w:right="419"/>
        <w:spacing w:after="0" w:line="246"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3.2. SELECTION BY TRUSTEE OF SECURITIES TO BE REDEEMED.</w:t>
      </w:r>
    </w:p>
    <w:p>
      <w:pPr>
        <w:spacing w:after="0" w:line="87" w:lineRule="exact"/>
        <w:rPr>
          <w:sz w:val="20"/>
          <w:szCs w:val="20"/>
          <w:color w:val="auto"/>
        </w:rPr>
      </w:pPr>
    </w:p>
    <w:p>
      <w:pPr>
        <w:ind w:left="360" w:right="399"/>
        <w:spacing w:after="0" w:line="249" w:lineRule="auto"/>
        <w:rPr>
          <w:sz w:val="20"/>
          <w:szCs w:val="20"/>
          <w:color w:val="auto"/>
        </w:rPr>
      </w:pPr>
      <w:r>
        <w:rPr>
          <w:rFonts w:ascii="Times New Roman" w:cs="Times New Roman" w:eastAsia="Times New Roman" w:hAnsi="Times New Roman"/>
          <w:sz w:val="14"/>
          <w:szCs w:val="14"/>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54" w:name="page55"/>
    <w:bookmarkEnd w:id="54"/>
    <w:p>
      <w:pPr>
        <w:ind w:left="360" w:right="539"/>
        <w:spacing w:after="0" w:line="29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3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3.3. NOTICE OF REDEMPTION.</w:t>
      </w:r>
    </w:p>
    <w:p>
      <w:pPr>
        <w:spacing w:after="0" w:line="87" w:lineRule="exact"/>
        <w:rPr>
          <w:sz w:val="20"/>
          <w:szCs w:val="20"/>
          <w:color w:val="auto"/>
        </w:rPr>
      </w:pPr>
    </w:p>
    <w:p>
      <w:pPr>
        <w:ind w:left="360" w:right="439"/>
        <w:spacing w:after="0" w:line="249"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10 days, and no more than 60 days, before a Redemption Date, the Company shall deliver, or cause to be delivered, a notice of redemption by first-class mail to each Holder of Securities to be redeemed at his or her last address as the same appears on the registry books maintained by the Registrar. The notice shall identify the Securities to be redeemed and shall state:</w:t>
      </w:r>
    </w:p>
    <w:p>
      <w:pPr>
        <w:spacing w:after="0" w:line="65" w:lineRule="exact"/>
        <w:rPr>
          <w:sz w:val="20"/>
          <w:szCs w:val="20"/>
          <w:color w:val="auto"/>
        </w:rPr>
      </w:pPr>
    </w:p>
    <w:p>
      <w:pPr>
        <w:ind w:left="540" w:hanging="188"/>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and that such redemption price shall become due and payable on the Redemption Date;</w:t>
      </w:r>
    </w:p>
    <w:p>
      <w:pPr>
        <w:spacing w:after="0" w:line="164" w:lineRule="exact"/>
        <w:rPr>
          <w:rFonts w:ascii="Times New Roman" w:cs="Times New Roman" w:eastAsia="Times New Roman" w:hAnsi="Times New Roman"/>
          <w:sz w:val="14"/>
          <w:szCs w:val="14"/>
          <w:color w:val="auto"/>
        </w:rPr>
      </w:pPr>
    </w:p>
    <w:p>
      <w:pPr>
        <w:ind w:left="360" w:right="439" w:hanging="8"/>
        <w:spacing w:after="0" w:line="253" w:lineRule="auto"/>
        <w:tabs>
          <w:tab w:leader="none" w:pos="5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42"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164" w:lineRule="exact"/>
        <w:rPr>
          <w:rFonts w:ascii="Times New Roman" w:cs="Times New Roman" w:eastAsia="Times New Roman" w:hAnsi="Times New Roman"/>
          <w:sz w:val="14"/>
          <w:szCs w:val="14"/>
          <w:color w:val="auto"/>
        </w:rPr>
      </w:pPr>
    </w:p>
    <w:p>
      <w:pPr>
        <w:ind w:left="360" w:right="659" w:hanging="8"/>
        <w:spacing w:after="0" w:line="263" w:lineRule="auto"/>
        <w:tabs>
          <w:tab w:leader="none" w:pos="5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a Series called for redemption must be surrendered to the Paying Agent to collect the redemption price, and the place or places where each such Security is to be surrendered for such payment;</w:t>
      </w:r>
    </w:p>
    <w:p>
      <w:pPr>
        <w:spacing w:after="0" w:line="135" w:lineRule="exact"/>
        <w:rPr>
          <w:rFonts w:ascii="Times New Roman" w:cs="Times New Roman" w:eastAsia="Times New Roman" w:hAnsi="Times New Roman"/>
          <w:sz w:val="14"/>
          <w:szCs w:val="14"/>
          <w:color w:val="auto"/>
        </w:rPr>
      </w:pPr>
    </w:p>
    <w:p>
      <w:pPr>
        <w:jc w:val="both"/>
        <w:ind w:left="360" w:right="419" w:hanging="8"/>
        <w:spacing w:after="0" w:line="253" w:lineRule="auto"/>
        <w:tabs>
          <w:tab w:leader="none" w:pos="5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42" w:lineRule="exact"/>
        <w:rPr>
          <w:rFonts w:ascii="Times New Roman" w:cs="Times New Roman" w:eastAsia="Times New Roman" w:hAnsi="Times New Roman"/>
          <w:sz w:val="14"/>
          <w:szCs w:val="14"/>
          <w:color w:val="auto"/>
        </w:rPr>
      </w:pPr>
    </w:p>
    <w:p>
      <w:pPr>
        <w:ind w:left="360" w:right="379" w:hanging="8"/>
        <w:spacing w:after="0" w:line="253" w:lineRule="auto"/>
        <w:tabs>
          <w:tab w:leader="none" w:pos="5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42"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printed on the Securities being redeemed; and</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no representation is made as to the correctness or accuracy of the CUSIP number, if any, listed in such notice or printed on the Securities.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the Company’s request, the Trustee shall give the notice of redemption in the Company’s name and at the Company’s sole expense.</w:t>
      </w:r>
    </w:p>
    <w:p>
      <w:pPr>
        <w:spacing w:after="0" w:line="1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55" w:name="page56"/>
    <w:bookmarkEnd w:id="55"/>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3.4. EFFECT OF NOTICE OF REDEMPTION.</w:t>
      </w:r>
    </w:p>
    <w:p>
      <w:pPr>
        <w:spacing w:after="0" w:line="87" w:lineRule="exact"/>
        <w:rPr>
          <w:sz w:val="20"/>
          <w:szCs w:val="20"/>
          <w:color w:val="auto"/>
        </w:rPr>
      </w:pPr>
    </w:p>
    <w:p>
      <w:pPr>
        <w:ind w:left="360" w:right="499"/>
        <w:spacing w:after="0" w:line="246" w:lineRule="auto"/>
        <w:rPr>
          <w:sz w:val="20"/>
          <w:szCs w:val="20"/>
          <w:color w:val="auto"/>
        </w:rPr>
      </w:pPr>
      <w:r>
        <w:rPr>
          <w:rFonts w:ascii="Times New Roman" w:cs="Times New Roman" w:eastAsia="Times New Roman" w:hAnsi="Times New Roman"/>
          <w:sz w:val="14"/>
          <w:szCs w:val="14"/>
          <w:color w:val="auto"/>
        </w:rPr>
        <w:t>Once the notice of redemption described in Section 3.3 is delivered,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3.5. DEPOSIT OF REDEMPTION PRICE.</w:t>
      </w:r>
    </w:p>
    <w:p>
      <w:pPr>
        <w:spacing w:after="0" w:line="87" w:lineRule="exact"/>
        <w:rPr>
          <w:sz w:val="20"/>
          <w:szCs w:val="20"/>
          <w:color w:val="auto"/>
        </w:rPr>
      </w:pPr>
    </w:p>
    <w:p>
      <w:pPr>
        <w:ind w:left="360" w:right="439"/>
        <w:spacing w:after="0" w:line="253" w:lineRule="auto"/>
        <w:rPr>
          <w:sz w:val="20"/>
          <w:szCs w:val="20"/>
          <w:color w:val="auto"/>
        </w:rPr>
      </w:pPr>
      <w:r>
        <w:rPr>
          <w:rFonts w:ascii="Times New Roman" w:cs="Times New Roman" w:eastAsia="Times New Roman" w:hAnsi="Times New Roman"/>
          <w:sz w:val="14"/>
          <w:szCs w:val="14"/>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42"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3.6. SECURITIES REDEEMED IN PART.</w:t>
      </w:r>
    </w:p>
    <w:p>
      <w:pPr>
        <w:spacing w:after="0" w:line="87" w:lineRule="exact"/>
        <w:rPr>
          <w:sz w:val="20"/>
          <w:szCs w:val="20"/>
          <w:color w:val="auto"/>
        </w:rPr>
      </w:pPr>
    </w:p>
    <w:p>
      <w:pPr>
        <w:ind w:left="360" w:right="679"/>
        <w:spacing w:after="0" w:line="263" w:lineRule="auto"/>
        <w:rPr>
          <w:sz w:val="20"/>
          <w:szCs w:val="20"/>
          <w:color w:val="auto"/>
        </w:rPr>
      </w:pPr>
      <w:r>
        <w:rPr>
          <w:rFonts w:ascii="Times New Roman" w:cs="Times New Roman" w:eastAsia="Times New Roman" w:hAnsi="Times New Roman"/>
          <w:sz w:val="14"/>
          <w:szCs w:val="14"/>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2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4 –</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4.1. PAYMENT OF SECURITIES.</w:t>
      </w:r>
    </w:p>
    <w:p>
      <w:pPr>
        <w:spacing w:after="0" w:line="87" w:lineRule="exact"/>
        <w:rPr>
          <w:sz w:val="20"/>
          <w:szCs w:val="20"/>
          <w:color w:val="auto"/>
        </w:rPr>
      </w:pPr>
    </w:p>
    <w:p>
      <w:pPr>
        <w:ind w:left="360" w:right="499"/>
        <w:spacing w:after="0" w:line="263" w:lineRule="auto"/>
        <w:rPr>
          <w:sz w:val="20"/>
          <w:szCs w:val="20"/>
          <w:color w:val="auto"/>
        </w:rPr>
      </w:pPr>
      <w:r>
        <w:rPr>
          <w:rFonts w:ascii="Times New Roman" w:cs="Times New Roman" w:eastAsia="Times New Roman" w:hAnsi="Times New Roman"/>
          <w:sz w:val="14"/>
          <w:szCs w:val="14"/>
          <w:color w:val="auto"/>
        </w:rPr>
        <w:t>The Company shall pay the principal of, and interest and premium, if any, on each Series of Securities on the dates and in the manner provided in such Securities and this Indenture.</w:t>
      </w:r>
    </w:p>
    <w:p>
      <w:pPr>
        <w:spacing w:after="0" w:line="136" w:lineRule="exact"/>
        <w:rPr>
          <w:sz w:val="20"/>
          <w:szCs w:val="20"/>
          <w:color w:val="auto"/>
        </w:rPr>
      </w:pPr>
    </w:p>
    <w:p>
      <w:pPr>
        <w:ind w:left="360" w:right="499"/>
        <w:spacing w:after="0" w:line="253" w:lineRule="auto"/>
        <w:rPr>
          <w:sz w:val="20"/>
          <w:szCs w:val="20"/>
          <w:color w:val="auto"/>
        </w:rPr>
      </w:pPr>
      <w:r>
        <w:rPr>
          <w:rFonts w:ascii="Times New Roman" w:cs="Times New Roman" w:eastAsia="Times New Roman" w:hAnsi="Times New Roman"/>
          <w:sz w:val="14"/>
          <w:szCs w:val="14"/>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shall pay interest on overdue principal, and overdue interest, to the extent lawful, at the rate specified in the Series of Securities.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4.2. SEC REPORTS.</w:t>
      </w:r>
    </w:p>
    <w:p>
      <w:pPr>
        <w:spacing w:after="0" w:line="87" w:lineRule="exact"/>
        <w:rPr>
          <w:sz w:val="20"/>
          <w:szCs w:val="20"/>
          <w:color w:val="auto"/>
        </w:rPr>
      </w:pPr>
    </w:p>
    <w:p>
      <w:pPr>
        <w:jc w:val="both"/>
        <w:ind w:left="360" w:right="499"/>
        <w:spacing w:after="0" w:line="249" w:lineRule="auto"/>
        <w:rPr>
          <w:sz w:val="20"/>
          <w:szCs w:val="20"/>
          <w:color w:val="auto"/>
        </w:rPr>
      </w:pPr>
      <w:r>
        <w:rPr>
          <w:rFonts w:ascii="Times New Roman" w:cs="Times New Roman" w:eastAsia="Times New Roman" w:hAnsi="Times New Roman"/>
          <w:sz w:val="14"/>
          <w:szCs w:val="14"/>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5" w:right="1440" w:bottom="1440" w:gutter="0" w:footer="0" w:header="0"/>
        </w:sectPr>
      </w:pPr>
    </w:p>
    <w:bookmarkStart w:id="56" w:name="page57"/>
    <w:bookmarkEnd w:id="56"/>
    <w:p>
      <w:pPr>
        <w:ind w:left="360" w:right="45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4.3. WAIVER OF STAY, EXTENSION OR USURY LAWS.</w:t>
      </w:r>
    </w:p>
    <w:p>
      <w:pPr>
        <w:spacing w:after="0" w:line="87" w:lineRule="exact"/>
        <w:rPr>
          <w:sz w:val="20"/>
          <w:szCs w:val="20"/>
          <w:color w:val="auto"/>
        </w:rPr>
      </w:pPr>
    </w:p>
    <w:p>
      <w:pPr>
        <w:ind w:left="360" w:right="399"/>
        <w:spacing w:after="0" w:line="296" w:lineRule="auto"/>
        <w:rPr>
          <w:sz w:val="20"/>
          <w:szCs w:val="20"/>
          <w:color w:val="auto"/>
        </w:rPr>
      </w:pPr>
      <w:r>
        <w:rPr>
          <w:rFonts w:ascii="Times New Roman" w:cs="Times New Roman" w:eastAsia="Times New Roman" w:hAnsi="Times New Roman"/>
          <w:sz w:val="12"/>
          <w:szCs w:val="12"/>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4.4. COMPLIANCE CERTIFICATE.</w:t>
      </w:r>
    </w:p>
    <w:p>
      <w:pPr>
        <w:spacing w:after="0" w:line="87" w:lineRule="exact"/>
        <w:rPr>
          <w:sz w:val="20"/>
          <w:szCs w:val="20"/>
          <w:color w:val="auto"/>
        </w:rPr>
      </w:pPr>
    </w:p>
    <w:p>
      <w:pPr>
        <w:ind w:left="360" w:right="459" w:hanging="8"/>
        <w:spacing w:after="0" w:line="245" w:lineRule="auto"/>
        <w:tabs>
          <w:tab w:leader="none" w:pos="54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48" w:lineRule="exact"/>
        <w:rPr>
          <w:sz w:val="20"/>
          <w:szCs w:val="20"/>
          <w:color w:val="auto"/>
        </w:rPr>
      </w:pPr>
    </w:p>
    <w:p>
      <w:pPr>
        <w:ind w:left="360" w:right="479"/>
        <w:spacing w:after="0" w:line="249" w:lineRule="auto"/>
        <w:rPr>
          <w:sz w:val="20"/>
          <w:szCs w:val="20"/>
          <w:color w:val="auto"/>
        </w:rPr>
      </w:pPr>
      <w:r>
        <w:rPr>
          <w:rFonts w:ascii="Times New Roman" w:cs="Times New Roman" w:eastAsia="Times New Roman" w:hAnsi="Times New Roman"/>
          <w:sz w:val="14"/>
          <w:szCs w:val="14"/>
          <w:color w:val="auto"/>
        </w:rPr>
        <w:t>(b)(i)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4.5. CORPORATE EXISTENCE.</w:t>
      </w:r>
    </w:p>
    <w:p>
      <w:pPr>
        <w:spacing w:after="0" w:line="87"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5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CORPORATION</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5.1. LIMITATION ON CONSOLIDATION, MERGER AND SALE OF ASSETS.</w:t>
      </w:r>
    </w:p>
    <w:p>
      <w:pPr>
        <w:spacing w:after="0" w:line="87" w:lineRule="exact"/>
        <w:rPr>
          <w:sz w:val="20"/>
          <w:szCs w:val="20"/>
          <w:color w:val="auto"/>
        </w:rPr>
      </w:pPr>
    </w:p>
    <w:p>
      <w:pPr>
        <w:ind w:left="360" w:right="359" w:hanging="8"/>
        <w:spacing w:after="0" w:line="290" w:lineRule="auto"/>
        <w:tabs>
          <w:tab w:leader="none" w:pos="54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w:t>
      </w:r>
    </w:p>
    <w:p>
      <w:pPr>
        <w:spacing w:after="0" w:line="139" w:lineRule="exact"/>
        <w:rPr>
          <w:rFonts w:ascii="Times New Roman" w:cs="Times New Roman" w:eastAsia="Times New Roman" w:hAnsi="Times New Roman"/>
          <w:sz w:val="12"/>
          <w:szCs w:val="12"/>
          <w:color w:val="auto"/>
        </w:rPr>
      </w:pPr>
    </w:p>
    <w:p>
      <w:pPr>
        <w:ind w:left="360" w:right="719" w:hanging="8"/>
        <w:spacing w:after="0" w:line="244" w:lineRule="auto"/>
        <w:tabs>
          <w:tab w:leader="none" w:pos="5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148" w:lineRule="exact"/>
        <w:rPr>
          <w:rFonts w:ascii="Times New Roman" w:cs="Times New Roman" w:eastAsia="Times New Roman" w:hAnsi="Times New Roman"/>
          <w:sz w:val="14"/>
          <w:szCs w:val="14"/>
          <w:color w:val="auto"/>
        </w:rPr>
      </w:pPr>
    </w:p>
    <w:p>
      <w:pPr>
        <w:ind w:left="360" w:right="499" w:hanging="8"/>
        <w:spacing w:after="0" w:line="249" w:lineRule="auto"/>
        <w:tabs>
          <w:tab w:leader="none" w:pos="5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5.2. SUCCESSOR PERSON SUBSTITUTED.</w:t>
      </w:r>
    </w:p>
    <w:p>
      <w:pPr>
        <w:spacing w:after="0" w:line="87"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DEFAULTS AND REMEDIES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6.1. EVENTS OF DEFAULT.</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“Events of Default,” wherever used herein with respect to Securities of any Series, means any one of the following events, unless in the establishing</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Board Resolution, supplemental indenture or Officers’ Certificate, it is provided that such Series shall not have the benefit of said Event of Default:</w:t>
      </w:r>
    </w:p>
    <w:p>
      <w:pPr>
        <w:spacing w:after="0" w:line="71" w:lineRule="exact"/>
        <w:rPr>
          <w:sz w:val="20"/>
          <w:szCs w:val="20"/>
          <w:color w:val="auto"/>
        </w:rPr>
      </w:pPr>
    </w:p>
    <w:p>
      <w:pPr>
        <w:ind w:left="360" w:right="379" w:hanging="8"/>
        <w:spacing w:after="0" w:line="263" w:lineRule="auto"/>
        <w:tabs>
          <w:tab w:leader="none" w:pos="5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default in the payment of any principal of, or premium, if any, on, the Securities when the same becomes due and payable at Maturity, upon acceleration, redemption or otherwise;</w:t>
      </w:r>
    </w:p>
    <w:p>
      <w:pPr>
        <w:spacing w:after="0" w:line="135" w:lineRule="exact"/>
        <w:rPr>
          <w:rFonts w:ascii="Times New Roman" w:cs="Times New Roman" w:eastAsia="Times New Roman" w:hAnsi="Times New Roman"/>
          <w:sz w:val="14"/>
          <w:szCs w:val="14"/>
          <w:color w:val="auto"/>
        </w:rPr>
      </w:pPr>
    </w:p>
    <w:p>
      <w:pPr>
        <w:ind w:left="360" w:right="419" w:hanging="8"/>
        <w:spacing w:after="0" w:line="263" w:lineRule="auto"/>
        <w:tabs>
          <w:tab w:leader="none" w:pos="5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default in the payment of any interest on any Security of a Series when the same becomes due and payable, and the Default continues for a period of 30 days;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5" w:right="1440" w:bottom="1440" w:gutter="0" w:footer="0" w:header="0"/>
        </w:sectPr>
      </w:pPr>
    </w:p>
    <w:bookmarkStart w:id="58" w:name="page59"/>
    <w:bookmarkEnd w:id="58"/>
    <w:p>
      <w:pPr>
        <w:ind w:left="360" w:right="499" w:hanging="8"/>
        <w:spacing w:after="0" w:line="253" w:lineRule="auto"/>
        <w:tabs>
          <w:tab w:leader="none" w:pos="5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Company defaults in the observance or performance of any other covenant in the Securities of a Series or in this Indenture for 90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42"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Significant Subsidiary pursuant to or within the meaning of any Bankruptcy Law:</w:t>
      </w:r>
    </w:p>
    <w:p>
      <w:pPr>
        <w:spacing w:after="0" w:line="83" w:lineRule="exact"/>
        <w:rPr>
          <w:sz w:val="20"/>
          <w:szCs w:val="20"/>
          <w:color w:val="auto"/>
        </w:rPr>
      </w:pPr>
    </w:p>
    <w:p>
      <w:pPr>
        <w:ind w:left="580" w:hanging="228"/>
        <w:spacing w:after="0"/>
        <w:tabs>
          <w:tab w:leader="none" w:pos="5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4" w:lineRule="exact"/>
        <w:rPr>
          <w:rFonts w:ascii="Times New Roman" w:cs="Times New Roman" w:eastAsia="Times New Roman" w:hAnsi="Times New Roman"/>
          <w:sz w:val="14"/>
          <w:szCs w:val="14"/>
          <w:color w:val="auto"/>
        </w:rPr>
      </w:pPr>
    </w:p>
    <w:p>
      <w:pPr>
        <w:ind w:left="560" w:hanging="208"/>
        <w:spacing w:after="0"/>
        <w:tabs>
          <w:tab w:leader="none" w:pos="5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4" w:lineRule="exact"/>
        <w:rPr>
          <w:rFonts w:ascii="Times New Roman" w:cs="Times New Roman" w:eastAsia="Times New Roman" w:hAnsi="Times New Roman"/>
          <w:sz w:val="14"/>
          <w:szCs w:val="14"/>
          <w:color w:val="auto"/>
        </w:rPr>
      </w:pPr>
    </w:p>
    <w:p>
      <w:pPr>
        <w:ind w:left="560" w:hanging="208"/>
        <w:spacing w:after="0"/>
        <w:tabs>
          <w:tab w:leader="none" w:pos="5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164" w:lineRule="exact"/>
        <w:rPr>
          <w:rFonts w:ascii="Times New Roman" w:cs="Times New Roman" w:eastAsia="Times New Roman" w:hAnsi="Times New Roman"/>
          <w:sz w:val="14"/>
          <w:szCs w:val="14"/>
          <w:color w:val="auto"/>
        </w:rPr>
      </w:pPr>
    </w:p>
    <w:p>
      <w:pPr>
        <w:ind w:left="580" w:hanging="228"/>
        <w:spacing w:after="0"/>
        <w:tabs>
          <w:tab w:leader="none" w:pos="5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64" w:lineRule="exact"/>
        <w:rPr>
          <w:rFonts w:ascii="Times New Roman" w:cs="Times New Roman" w:eastAsia="Times New Roman" w:hAnsi="Times New Roman"/>
          <w:sz w:val="14"/>
          <w:szCs w:val="14"/>
          <w:color w:val="auto"/>
        </w:rPr>
      </w:pPr>
    </w:p>
    <w:p>
      <w:pPr>
        <w:ind w:left="560" w:hanging="208"/>
        <w:spacing w:after="0"/>
        <w:tabs>
          <w:tab w:leader="none" w:pos="5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not paying its debts as they become due;</w:t>
      </w:r>
    </w:p>
    <w:p>
      <w:pPr>
        <w:spacing w:after="0" w:line="165" w:lineRule="exact"/>
        <w:rPr>
          <w:sz w:val="20"/>
          <w:szCs w:val="20"/>
          <w:color w:val="auto"/>
        </w:rPr>
      </w:pPr>
    </w:p>
    <w:p>
      <w:pPr>
        <w:ind w:left="540" w:hanging="188"/>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83" w:lineRule="exact"/>
        <w:rPr>
          <w:rFonts w:ascii="Times New Roman" w:cs="Times New Roman" w:eastAsia="Times New Roman" w:hAnsi="Times New Roman"/>
          <w:sz w:val="14"/>
          <w:szCs w:val="14"/>
          <w:color w:val="auto"/>
        </w:rPr>
      </w:pPr>
    </w:p>
    <w:p>
      <w:pPr>
        <w:ind w:left="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is for relief against the Company or any Significant Subsidiary in an involuntary case;</w:t>
      </w:r>
    </w:p>
    <w:p>
      <w:pPr>
        <w:spacing w:after="0" w:line="165" w:lineRule="exact"/>
        <w:rPr>
          <w:sz w:val="20"/>
          <w:szCs w:val="20"/>
          <w:color w:val="auto"/>
        </w:rPr>
      </w:pPr>
    </w:p>
    <w:p>
      <w:pPr>
        <w:ind w:left="360" w:right="459" w:hanging="8"/>
        <w:spacing w:after="0" w:line="263" w:lineRule="auto"/>
        <w:tabs>
          <w:tab w:leader="none" w:pos="57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any Significant Subsidiary, or for all or substantially all of the property of the Company or any Significant Subsidiary; or</w:t>
      </w:r>
    </w:p>
    <w:p>
      <w:pPr>
        <w:spacing w:after="0" w:line="135" w:lineRule="exact"/>
        <w:rPr>
          <w:rFonts w:ascii="Times New Roman" w:cs="Times New Roman" w:eastAsia="Times New Roman" w:hAnsi="Times New Roman"/>
          <w:sz w:val="14"/>
          <w:szCs w:val="14"/>
          <w:color w:val="auto"/>
        </w:rPr>
      </w:pPr>
    </w:p>
    <w:p>
      <w:pPr>
        <w:ind w:left="560" w:hanging="208"/>
        <w:spacing w:after="0"/>
        <w:tabs>
          <w:tab w:leader="none" w:pos="5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orders the liquidation of the Company or any Significant Subsidiary, and the order or decree remains unstayed and in effect for 90 consecutive days;</w:t>
      </w:r>
    </w:p>
    <w:p>
      <w:pPr>
        <w:spacing w:after="0" w:line="36" w:lineRule="exact"/>
        <w:rPr>
          <w:rFonts w:ascii="Times New Roman" w:cs="Times New Roman" w:eastAsia="Times New Roman" w:hAnsi="Times New Roman"/>
          <w:sz w:val="12"/>
          <w:szCs w:val="12"/>
          <w:color w:val="auto"/>
        </w:rPr>
      </w:pPr>
    </w:p>
    <w:p>
      <w:pPr>
        <w:ind w:left="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or</w:t>
      </w:r>
    </w:p>
    <w:p>
      <w:pPr>
        <w:spacing w:after="0" w:line="153" w:lineRule="exact"/>
        <w:rPr>
          <w:sz w:val="20"/>
          <w:szCs w:val="20"/>
          <w:color w:val="auto"/>
        </w:rPr>
      </w:pPr>
    </w:p>
    <w:p>
      <w:pPr>
        <w:ind w:left="360" w:right="659" w:hanging="8"/>
        <w:spacing w:after="0" w:line="263" w:lineRule="auto"/>
        <w:tabs>
          <w:tab w:leader="none" w:pos="55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Securities of that Series, which is specified in a Board Resolution, a supplemental indenture hereto or an Officers’ Certificate, in accordance with Section 2.2(19).</w:t>
      </w:r>
    </w:p>
    <w:p>
      <w:pPr>
        <w:spacing w:after="0" w:line="136" w:lineRule="exact"/>
        <w:rPr>
          <w:sz w:val="20"/>
          <w:szCs w:val="20"/>
          <w:color w:val="auto"/>
        </w:rPr>
      </w:pPr>
    </w:p>
    <w:p>
      <w:pPr>
        <w:ind w:left="360" w:right="599"/>
        <w:spacing w:after="0" w:line="263" w:lineRule="auto"/>
        <w:rPr>
          <w:sz w:val="20"/>
          <w:szCs w:val="20"/>
          <w:color w:val="auto"/>
        </w:rPr>
      </w:pPr>
      <w:r>
        <w:rPr>
          <w:rFonts w:ascii="Times New Roman" w:cs="Times New Roman" w:eastAsia="Times New Roman" w:hAnsi="Times New Roman"/>
          <w:sz w:val="14"/>
          <w:szCs w:val="14"/>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36" w:lineRule="exact"/>
        <w:rPr>
          <w:sz w:val="20"/>
          <w:szCs w:val="20"/>
          <w:color w:val="auto"/>
        </w:rPr>
      </w:pPr>
    </w:p>
    <w:p>
      <w:pPr>
        <w:ind w:left="360" w:right="719"/>
        <w:spacing w:after="0" w:line="263" w:lineRule="auto"/>
        <w:rPr>
          <w:sz w:val="20"/>
          <w:szCs w:val="20"/>
          <w:color w:val="auto"/>
        </w:rPr>
      </w:pPr>
      <w:r>
        <w:rPr>
          <w:rFonts w:ascii="Times New Roman" w:cs="Times New Roman" w:eastAsia="Times New Roman" w:hAnsi="Times New Roman"/>
          <w:sz w:val="14"/>
          <w:szCs w:val="14"/>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6.2. ACCELERATION.</w:t>
      </w:r>
    </w:p>
    <w:p>
      <w:pPr>
        <w:spacing w:after="0" w:line="87" w:lineRule="exact"/>
        <w:rPr>
          <w:sz w:val="20"/>
          <w:szCs w:val="20"/>
          <w:color w:val="auto"/>
        </w:rPr>
      </w:pPr>
    </w:p>
    <w:p>
      <w:pPr>
        <w:ind w:left="360" w:right="379"/>
        <w:spacing w:after="0" w:line="288" w:lineRule="auto"/>
        <w:rPr>
          <w:sz w:val="20"/>
          <w:szCs w:val="20"/>
          <w:color w:val="auto"/>
        </w:rPr>
      </w:pPr>
      <w:r>
        <w:rPr>
          <w:rFonts w:ascii="Times New Roman" w:cs="Times New Roman" w:eastAsia="Times New Roman" w:hAnsi="Times New Roman"/>
          <w:sz w:val="12"/>
          <w:szCs w:val="12"/>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59" w:name="page60"/>
    <w:bookmarkEnd w:id="59"/>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6.3. REMEDIES.</w:t>
      </w:r>
    </w:p>
    <w:p>
      <w:pPr>
        <w:spacing w:after="0" w:line="87" w:lineRule="exact"/>
        <w:rPr>
          <w:sz w:val="20"/>
          <w:szCs w:val="20"/>
          <w:color w:val="auto"/>
        </w:rPr>
      </w:pPr>
    </w:p>
    <w:p>
      <w:pPr>
        <w:ind w:left="360" w:right="379"/>
        <w:spacing w:after="0" w:line="253" w:lineRule="auto"/>
        <w:rPr>
          <w:sz w:val="20"/>
          <w:szCs w:val="20"/>
          <w:color w:val="auto"/>
        </w:rPr>
      </w:pPr>
      <w:r>
        <w:rPr>
          <w:rFonts w:ascii="Times New Roman" w:cs="Times New Roman" w:eastAsia="Times New Roman" w:hAnsi="Times New Roman"/>
          <w:sz w:val="14"/>
          <w:szCs w:val="14"/>
          <w:color w:val="auto"/>
        </w:rPr>
        <w:t>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42" w:lineRule="exact"/>
        <w:rPr>
          <w:sz w:val="20"/>
          <w:szCs w:val="20"/>
          <w:color w:val="auto"/>
        </w:rPr>
      </w:pPr>
    </w:p>
    <w:p>
      <w:pPr>
        <w:ind w:left="360" w:right="379"/>
        <w:spacing w:after="0" w:line="249" w:lineRule="auto"/>
        <w:rPr>
          <w:sz w:val="20"/>
          <w:szCs w:val="20"/>
          <w:color w:val="auto"/>
        </w:rPr>
      </w:pPr>
      <w:r>
        <w:rPr>
          <w:rFonts w:ascii="Times New Roman" w:cs="Times New Roman" w:eastAsia="Times New Roman" w:hAnsi="Times New Roman"/>
          <w:sz w:val="14"/>
          <w:szCs w:val="14"/>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6.4. WAIVER OF PAST DEFAULTS AND EVENTS OF DEFAULT.</w:t>
      </w:r>
    </w:p>
    <w:p>
      <w:pPr>
        <w:spacing w:after="0" w:line="87" w:lineRule="exact"/>
        <w:rPr>
          <w:sz w:val="20"/>
          <w:szCs w:val="20"/>
          <w:color w:val="auto"/>
        </w:rPr>
      </w:pPr>
    </w:p>
    <w:p>
      <w:pPr>
        <w:ind w:left="360" w:right="439"/>
        <w:spacing w:after="0" w:line="246" w:lineRule="auto"/>
        <w:rPr>
          <w:sz w:val="20"/>
          <w:szCs w:val="20"/>
          <w:color w:val="auto"/>
        </w:rPr>
      </w:pPr>
      <w:r>
        <w:rPr>
          <w:rFonts w:ascii="Times New Roman" w:cs="Times New Roman" w:eastAsia="Times New Roman" w:hAnsi="Times New Roman"/>
          <w:sz w:val="14"/>
          <w:szCs w:val="14"/>
          <w:color w:val="auto"/>
        </w:rPr>
        <w:t>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 (B), and TIA Section 316(a)(1)(B) is hereby expressly excluded from this Indenture and this Section as permitted by the TIA.</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6.5. CONTROL BY MAJORITY.</w:t>
      </w:r>
    </w:p>
    <w:p>
      <w:pPr>
        <w:spacing w:after="0" w:line="87" w:lineRule="exact"/>
        <w:rPr>
          <w:sz w:val="20"/>
          <w:szCs w:val="20"/>
          <w:color w:val="auto"/>
        </w:rPr>
      </w:pPr>
    </w:p>
    <w:p>
      <w:pPr>
        <w:ind w:left="360" w:right="359"/>
        <w:spacing w:after="0" w:line="296" w:lineRule="auto"/>
        <w:rPr>
          <w:sz w:val="20"/>
          <w:szCs w:val="20"/>
          <w:color w:val="auto"/>
        </w:rPr>
      </w:pPr>
      <w:r>
        <w:rPr>
          <w:rFonts w:ascii="Times New Roman" w:cs="Times New Roman" w:eastAsia="Times New Roman" w:hAnsi="Times New Roman"/>
          <w:sz w:val="12"/>
          <w:szCs w:val="12"/>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this Section as permitted by the TIA.</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6.6. LIMITATION ON SUITS.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Subject to Section 6.7, a Securityholder may not institute any proceeding or pursue any remedy with respect to this Indenture or the Securities of a</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Series unless:</w:t>
      </w:r>
    </w:p>
    <w:p>
      <w:pPr>
        <w:spacing w:after="0" w:line="71" w:lineRule="exact"/>
        <w:rPr>
          <w:sz w:val="20"/>
          <w:szCs w:val="20"/>
          <w:color w:val="auto"/>
        </w:rPr>
      </w:pPr>
    </w:p>
    <w:p>
      <w:pPr>
        <w:ind w:left="540" w:hanging="188"/>
        <w:spacing w:after="0"/>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to the Trustee written notice of a continuing Event of Default with respect to the Securities of that Series;</w:t>
      </w:r>
    </w:p>
    <w:p>
      <w:pPr>
        <w:spacing w:after="0" w:line="164" w:lineRule="exact"/>
        <w:rPr>
          <w:rFonts w:ascii="Times New Roman" w:cs="Times New Roman" w:eastAsia="Times New Roman" w:hAnsi="Times New Roman"/>
          <w:sz w:val="14"/>
          <w:szCs w:val="14"/>
          <w:color w:val="auto"/>
        </w:rPr>
      </w:pPr>
    </w:p>
    <w:p>
      <w:pPr>
        <w:ind w:left="360" w:right="519" w:hanging="8"/>
        <w:spacing w:after="0" w:line="263" w:lineRule="auto"/>
        <w:tabs>
          <w:tab w:leader="none" w:pos="5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Securities of such Series then outstanding make a written request to the Trustee to pursue the remedy;</w:t>
      </w:r>
    </w:p>
    <w:p>
      <w:pPr>
        <w:spacing w:after="0" w:line="135" w:lineRule="exact"/>
        <w:rPr>
          <w:rFonts w:ascii="Times New Roman" w:cs="Times New Roman" w:eastAsia="Times New Roman" w:hAnsi="Times New Roman"/>
          <w:sz w:val="14"/>
          <w:szCs w:val="14"/>
          <w:color w:val="auto"/>
        </w:rPr>
      </w:pPr>
    </w:p>
    <w:p>
      <w:pPr>
        <w:ind w:left="360" w:right="579" w:hanging="8"/>
        <w:spacing w:after="0" w:line="263" w:lineRule="auto"/>
        <w:tabs>
          <w:tab w:leader="none" w:pos="5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offer to the Trustee indemnity reasonably satisfactory to the Trustee against any loss, liability or expense to be incurred in compliance with such request;</w:t>
      </w:r>
    </w:p>
    <w:p>
      <w:pPr>
        <w:spacing w:after="0" w:line="135"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164" w:lineRule="exact"/>
        <w:rPr>
          <w:rFonts w:ascii="Times New Roman" w:cs="Times New Roman" w:eastAsia="Times New Roman" w:hAnsi="Times New Roman"/>
          <w:sz w:val="14"/>
          <w:szCs w:val="14"/>
          <w:color w:val="auto"/>
        </w:rPr>
      </w:pPr>
    </w:p>
    <w:p>
      <w:pPr>
        <w:ind w:left="360" w:right="399" w:hanging="8"/>
        <w:spacing w:after="0" w:line="263" w:lineRule="auto"/>
        <w:tabs>
          <w:tab w:leader="none" w:pos="5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aggregate principal amount of the Securities of such Series then outstanding.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5" w:right="1440" w:bottom="1440" w:gutter="0" w:footer="0" w:header="0"/>
        </w:sectPr>
      </w:pPr>
    </w:p>
    <w:bookmarkStart w:id="60" w:name="page61"/>
    <w:bookmarkEnd w:id="60"/>
    <w:p>
      <w:pPr>
        <w:ind w:left="360" w:right="93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04710" cy="32385"/>
                    </a:xfrm>
                    <a:prstGeom prst="rect">
                      <a:avLst/>
                    </a:prstGeom>
                    <a:noFill/>
                  </pic:spPr>
                </pic:pic>
              </a:graphicData>
            </a:graphic>
          </wp:anchor>
        </w:drawing>
        <w:t>A Securityholder may not use this Indenture to prejudice the rights of another Securityholder, or to obtain a preference or priority over another Securityholder.</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6.7. RIGHTS OF HOLDERS TO RECEIVE PAYMENT.</w:t>
      </w:r>
    </w:p>
    <w:p>
      <w:pPr>
        <w:spacing w:after="0" w:line="87" w:lineRule="exact"/>
        <w:rPr>
          <w:sz w:val="20"/>
          <w:szCs w:val="20"/>
          <w:color w:val="auto"/>
        </w:rPr>
      </w:pPr>
    </w:p>
    <w:p>
      <w:pPr>
        <w:ind w:left="360" w:right="439"/>
        <w:spacing w:after="0" w:line="249" w:lineRule="auto"/>
        <w:rPr>
          <w:sz w:val="20"/>
          <w:szCs w:val="20"/>
          <w:color w:val="auto"/>
        </w:rPr>
      </w:pPr>
      <w:r>
        <w:rPr>
          <w:rFonts w:ascii="Times New Roman" w:cs="Times New Roman" w:eastAsia="Times New Roman" w:hAnsi="Times New Roman"/>
          <w:sz w:val="14"/>
          <w:szCs w:val="14"/>
          <w:color w:val="auto"/>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6.8. COLLECTION SUIT BY TRUSTEE.</w:t>
      </w:r>
    </w:p>
    <w:p>
      <w:pPr>
        <w:spacing w:after="0" w:line="87" w:lineRule="exact"/>
        <w:rPr>
          <w:sz w:val="20"/>
          <w:szCs w:val="20"/>
          <w:color w:val="auto"/>
        </w:rPr>
      </w:pPr>
    </w:p>
    <w:p>
      <w:pPr>
        <w:ind w:left="360" w:right="359"/>
        <w:spacing w:after="0" w:line="246" w:lineRule="auto"/>
        <w:rPr>
          <w:sz w:val="20"/>
          <w:szCs w:val="20"/>
          <w:color w:val="auto"/>
        </w:rPr>
      </w:pPr>
      <w:r>
        <w:rPr>
          <w:rFonts w:ascii="Times New Roman" w:cs="Times New Roman" w:eastAsia="Times New Roman" w:hAnsi="Times New Roman"/>
          <w:sz w:val="14"/>
          <w:szCs w:val="14"/>
          <w:color w:val="auto"/>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6.9. TRUSTEE MAY FILE PROOFS OF CLAIM.</w:t>
      </w:r>
    </w:p>
    <w:p>
      <w:pPr>
        <w:spacing w:after="0" w:line="87" w:lineRule="exact"/>
        <w:rPr>
          <w:sz w:val="20"/>
          <w:szCs w:val="20"/>
          <w:color w:val="auto"/>
        </w:rPr>
      </w:pPr>
    </w:p>
    <w:p>
      <w:pPr>
        <w:ind w:left="360" w:right="419"/>
        <w:spacing w:after="0" w:line="292" w:lineRule="auto"/>
        <w:rPr>
          <w:sz w:val="20"/>
          <w:szCs w:val="20"/>
          <w:color w:val="auto"/>
        </w:rPr>
      </w:pPr>
      <w:r>
        <w:rPr>
          <w:rFonts w:ascii="Times New Roman" w:cs="Times New Roman" w:eastAsia="Times New Roman" w:hAnsi="Times New Roman"/>
          <w:sz w:val="12"/>
          <w:szCs w:val="12"/>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w:t>
      </w:r>
    </w:p>
    <w:p>
      <w:pPr>
        <w:spacing w:after="0" w:line="285" w:lineRule="exact"/>
        <w:rPr>
          <w:sz w:val="20"/>
          <w:szCs w:val="20"/>
          <w:color w:val="auto"/>
        </w:rPr>
      </w:pPr>
    </w:p>
    <w:p>
      <w:pPr>
        <w:ind w:left="360" w:right="379"/>
        <w:spacing w:after="0" w:line="253"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6.10. PRIORITIES.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the Trustee collects any money pursuant to this Article 6, it shall pay out the money in the following order:</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FIRST: to the Trustee for amounts due under Section 7.7;</w:t>
      </w:r>
    </w:p>
    <w:p>
      <w:pPr>
        <w:spacing w:after="0" w:line="165" w:lineRule="exact"/>
        <w:rPr>
          <w:sz w:val="20"/>
          <w:szCs w:val="20"/>
          <w:color w:val="auto"/>
        </w:rPr>
      </w:pPr>
    </w:p>
    <w:p>
      <w:pPr>
        <w:ind w:left="360" w:right="439"/>
        <w:spacing w:after="0" w:line="253" w:lineRule="auto"/>
        <w:rPr>
          <w:sz w:val="20"/>
          <w:szCs w:val="20"/>
          <w:color w:val="auto"/>
        </w:rPr>
      </w:pPr>
      <w:r>
        <w:rPr>
          <w:rFonts w:ascii="Times New Roman" w:cs="Times New Roman" w:eastAsia="Times New Roman" w:hAnsi="Times New Roman"/>
          <w:sz w:val="14"/>
          <w:szCs w:val="14"/>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61" w:name="page62"/>
    <w:bookmarkEnd w:id="61"/>
    <w:p>
      <w:pPr>
        <w:ind w:left="360" w:right="3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may fix a record date and payment date for any payment to Securityholders pursuant to this Section 6.10. At least 15 days before such record date, the Trustee shall deliver, or cause to be delivered, to each Securityholder a notice that states the record date, the payment date and amount to be paid.</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6.11. UNDERTAKING FOR COSTS.</w:t>
      </w:r>
    </w:p>
    <w:p>
      <w:pPr>
        <w:spacing w:after="0" w:line="87" w:lineRule="exact"/>
        <w:rPr>
          <w:sz w:val="20"/>
          <w:szCs w:val="20"/>
          <w:color w:val="auto"/>
        </w:rPr>
      </w:pPr>
    </w:p>
    <w:p>
      <w:pPr>
        <w:ind w:left="360" w:right="519"/>
        <w:spacing w:after="0" w:line="247" w:lineRule="auto"/>
        <w:rPr>
          <w:sz w:val="20"/>
          <w:szCs w:val="20"/>
          <w:color w:val="auto"/>
        </w:rPr>
      </w:pPr>
      <w:r>
        <w:rPr>
          <w:rFonts w:ascii="Times New Roman" w:cs="Times New Roman" w:eastAsia="Times New Roman" w:hAnsi="Times New Roman"/>
          <w:sz w:val="14"/>
          <w:szCs w:val="14"/>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 –</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7.1. DUTIES OF TRUSTEE.</w:t>
      </w:r>
    </w:p>
    <w:p>
      <w:pPr>
        <w:spacing w:after="0" w:line="87" w:lineRule="exact"/>
        <w:rPr>
          <w:sz w:val="20"/>
          <w:szCs w:val="20"/>
          <w:color w:val="auto"/>
        </w:rPr>
      </w:pPr>
    </w:p>
    <w:p>
      <w:pPr>
        <w:ind w:left="360" w:right="519" w:hanging="8"/>
        <w:spacing w:after="0" w:line="253" w:lineRule="auto"/>
        <w:tabs>
          <w:tab w:leader="none" w:pos="54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w:t>
      </w:r>
    </w:p>
    <w:p>
      <w:pPr>
        <w:spacing w:after="0" w:line="142"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83" w:lineRule="exact"/>
        <w:rPr>
          <w:sz w:val="20"/>
          <w:szCs w:val="20"/>
          <w:color w:val="auto"/>
        </w:rPr>
      </w:pPr>
    </w:p>
    <w:p>
      <w:pPr>
        <w:ind w:left="360" w:right="559" w:hanging="8"/>
        <w:spacing w:after="0" w:line="263" w:lineRule="auto"/>
        <w:tabs>
          <w:tab w:leader="none" w:pos="55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covenants or obligations shall be implied in this Indenture against the Trustee.</w:t>
      </w:r>
    </w:p>
    <w:p>
      <w:pPr>
        <w:spacing w:after="0" w:line="135" w:lineRule="exact"/>
        <w:rPr>
          <w:rFonts w:ascii="Times New Roman" w:cs="Times New Roman" w:eastAsia="Times New Roman" w:hAnsi="Times New Roman"/>
          <w:sz w:val="14"/>
          <w:szCs w:val="14"/>
          <w:color w:val="auto"/>
        </w:rPr>
      </w:pPr>
    </w:p>
    <w:p>
      <w:pPr>
        <w:ind w:left="360" w:right="519" w:hanging="8"/>
        <w:spacing w:after="0" w:line="249" w:lineRule="auto"/>
        <w:tabs>
          <w:tab w:leader="none" w:pos="55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46" w:lineRule="exact"/>
        <w:rPr>
          <w:sz w:val="20"/>
          <w:szCs w:val="20"/>
          <w:color w:val="auto"/>
        </w:rPr>
      </w:pPr>
    </w:p>
    <w:p>
      <w:pPr>
        <w:ind w:left="540" w:hanging="188"/>
        <w:spacing w:after="0"/>
        <w:tabs>
          <w:tab w:leader="none" w:pos="54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may not be relieved from liability for its own negligent action, its own negligent failure to act or its own willful misconduct, except that:</w:t>
      </w:r>
    </w:p>
    <w:p>
      <w:pPr>
        <w:spacing w:after="0" w:line="106" w:lineRule="exact"/>
        <w:rPr>
          <w:rFonts w:ascii="Times New Roman" w:cs="Times New Roman" w:eastAsia="Times New Roman" w:hAnsi="Times New Roman"/>
          <w:sz w:val="12"/>
          <w:szCs w:val="12"/>
          <w:color w:val="auto"/>
        </w:rPr>
      </w:pPr>
    </w:p>
    <w:p>
      <w:pPr>
        <w:ind w:left="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 This paragraph does not limit the effect of paragraph (b) of this Section 7.1.</w:t>
      </w:r>
    </w:p>
    <w:p>
      <w:pPr>
        <w:spacing w:after="0" w:line="165" w:lineRule="exact"/>
        <w:rPr>
          <w:sz w:val="20"/>
          <w:szCs w:val="20"/>
          <w:color w:val="auto"/>
        </w:rPr>
      </w:pPr>
    </w:p>
    <w:p>
      <w:pPr>
        <w:ind w:left="360" w:right="819" w:hanging="8"/>
        <w:spacing w:after="0" w:line="263" w:lineRule="auto"/>
        <w:tabs>
          <w:tab w:leader="none" w:pos="5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 the pertinent facts.</w:t>
      </w:r>
    </w:p>
    <w:p>
      <w:pPr>
        <w:spacing w:after="0" w:line="135" w:lineRule="exact"/>
        <w:rPr>
          <w:rFonts w:ascii="Times New Roman" w:cs="Times New Roman" w:eastAsia="Times New Roman" w:hAnsi="Times New Roman"/>
          <w:sz w:val="14"/>
          <w:szCs w:val="14"/>
          <w:color w:val="auto"/>
        </w:rPr>
      </w:pPr>
    </w:p>
    <w:p>
      <w:pPr>
        <w:ind w:left="360" w:right="439" w:hanging="8"/>
        <w:spacing w:after="0" w:line="263" w:lineRule="auto"/>
        <w:tabs>
          <w:tab w:leader="none" w:pos="55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it takes or omits to take in good faith in accordance with a direction received by it pursuant to Sections 6.2 and 6.5.</w:t>
      </w:r>
    </w:p>
    <w:p>
      <w:pPr>
        <w:spacing w:after="0" w:line="136" w:lineRule="exact"/>
        <w:rPr>
          <w:sz w:val="20"/>
          <w:szCs w:val="20"/>
          <w:color w:val="auto"/>
        </w:rPr>
      </w:pPr>
    </w:p>
    <w:p>
      <w:pPr>
        <w:ind w:left="360" w:right="439" w:hanging="8"/>
        <w:spacing w:after="0" w:line="253" w:lineRule="auto"/>
        <w:tabs>
          <w:tab w:leader="none" w:pos="5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142" w:lineRule="exact"/>
        <w:rPr>
          <w:rFonts w:ascii="Times New Roman" w:cs="Times New Roman" w:eastAsia="Times New Roman" w:hAnsi="Times New Roman"/>
          <w:sz w:val="14"/>
          <w:szCs w:val="14"/>
          <w:color w:val="auto"/>
        </w:rPr>
      </w:pPr>
    </w:p>
    <w:p>
      <w:pPr>
        <w:ind w:left="360" w:right="419" w:hanging="8"/>
        <w:spacing w:after="0" w:line="263" w:lineRule="auto"/>
        <w:tabs>
          <w:tab w:leader="none" w:pos="544"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therein expressly so provided, paragraphs (a), (b), (c) and (d) of this Section 7.1 shall govern every provision of this Indenture that in any way relates to the Trustee.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62" w:name="page63"/>
    <w:bookmarkEnd w:id="62"/>
    <w:p>
      <w:pPr>
        <w:ind w:left="360" w:right="419" w:hanging="8"/>
        <w:spacing w:after="0" w:line="347" w:lineRule="auto"/>
        <w:tabs>
          <w:tab w:leader="none" w:pos="529"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89" w:lineRule="exact"/>
        <w:rPr>
          <w:rFonts w:ascii="Times New Roman" w:cs="Times New Roman" w:eastAsia="Times New Roman" w:hAnsi="Times New Roman"/>
          <w:sz w:val="12"/>
          <w:szCs w:val="12"/>
          <w:color w:val="auto"/>
        </w:rPr>
      </w:pPr>
    </w:p>
    <w:p>
      <w:pPr>
        <w:ind w:left="360" w:right="839" w:hanging="8"/>
        <w:spacing w:after="0" w:line="263"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7.2. RIGHTS OF TRUSTEE.</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Subject to Section 7.1:</w:t>
      </w:r>
    </w:p>
    <w:p>
      <w:pPr>
        <w:spacing w:after="0" w:line="83" w:lineRule="exact"/>
        <w:rPr>
          <w:sz w:val="20"/>
          <w:szCs w:val="20"/>
          <w:color w:val="auto"/>
        </w:rPr>
      </w:pPr>
    </w:p>
    <w:p>
      <w:pPr>
        <w:ind w:left="360" w:right="479" w:hanging="8"/>
        <w:spacing w:after="0" w:line="26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135" w:lineRule="exact"/>
        <w:rPr>
          <w:rFonts w:ascii="Times New Roman" w:cs="Times New Roman" w:eastAsia="Times New Roman" w:hAnsi="Times New Roman"/>
          <w:sz w:val="14"/>
          <w:szCs w:val="14"/>
          <w:color w:val="auto"/>
        </w:rPr>
      </w:pPr>
    </w:p>
    <w:p>
      <w:pPr>
        <w:jc w:val="both"/>
        <w:ind w:left="360" w:right="439" w:hanging="8"/>
        <w:spacing w:after="0" w:line="25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42" w:lineRule="exact"/>
        <w:rPr>
          <w:rFonts w:ascii="Times New Roman" w:cs="Times New Roman" w:eastAsia="Times New Roman" w:hAnsi="Times New Roman"/>
          <w:sz w:val="14"/>
          <w:szCs w:val="14"/>
          <w:color w:val="auto"/>
        </w:rPr>
      </w:pPr>
    </w:p>
    <w:p>
      <w:pPr>
        <w:ind w:left="360" w:right="559" w:hanging="8"/>
        <w:spacing w:after="0" w:line="26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act through agents and attorneys, and shall not be responsible for the misconduct or negligence of any agent appointed by it with due care.</w:t>
      </w:r>
    </w:p>
    <w:p>
      <w:pPr>
        <w:spacing w:after="0" w:line="135" w:lineRule="exact"/>
        <w:rPr>
          <w:rFonts w:ascii="Times New Roman" w:cs="Times New Roman" w:eastAsia="Times New Roman" w:hAnsi="Times New Roman"/>
          <w:sz w:val="14"/>
          <w:szCs w:val="14"/>
          <w:color w:val="auto"/>
        </w:rPr>
      </w:pPr>
    </w:p>
    <w:p>
      <w:pPr>
        <w:ind w:left="360" w:right="499" w:hanging="8"/>
        <w:spacing w:after="0" w:line="26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reasonably believes to be authorized or within its rights or powers.</w:t>
      </w:r>
    </w:p>
    <w:p>
      <w:pPr>
        <w:spacing w:after="0" w:line="135" w:lineRule="exact"/>
        <w:rPr>
          <w:rFonts w:ascii="Times New Roman" w:cs="Times New Roman" w:eastAsia="Times New Roman" w:hAnsi="Times New Roman"/>
          <w:sz w:val="14"/>
          <w:szCs w:val="14"/>
          <w:color w:val="auto"/>
        </w:rPr>
      </w:pPr>
    </w:p>
    <w:p>
      <w:pPr>
        <w:jc w:val="both"/>
        <w:ind w:left="360" w:right="359" w:hanging="8"/>
        <w:spacing w:after="0" w:line="25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42" w:lineRule="exact"/>
        <w:rPr>
          <w:rFonts w:ascii="Times New Roman" w:cs="Times New Roman" w:eastAsia="Times New Roman" w:hAnsi="Times New Roman"/>
          <w:sz w:val="14"/>
          <w:szCs w:val="14"/>
          <w:color w:val="auto"/>
        </w:rPr>
      </w:pPr>
    </w:p>
    <w:p>
      <w:pPr>
        <w:ind w:left="360" w:right="359" w:hanging="8"/>
        <w:spacing w:after="0" w:line="25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142" w:lineRule="exact"/>
        <w:rPr>
          <w:rFonts w:ascii="Times New Roman" w:cs="Times New Roman" w:eastAsia="Times New Roman" w:hAnsi="Times New Roman"/>
          <w:sz w:val="14"/>
          <w:szCs w:val="14"/>
          <w:color w:val="auto"/>
        </w:rPr>
      </w:pPr>
    </w:p>
    <w:p>
      <w:pPr>
        <w:ind w:left="360" w:right="519" w:hanging="8"/>
        <w:spacing w:after="0" w:line="263"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deemed to have knowledge of any fact or matter (including, without limitation, a Default or Event of Default) unless such fact or matter is known to a Responsible Officer of the Trustee.</w:t>
      </w:r>
    </w:p>
    <w:p>
      <w:pPr>
        <w:spacing w:after="0" w:line="135" w:lineRule="exact"/>
        <w:rPr>
          <w:rFonts w:ascii="Times New Roman" w:cs="Times New Roman" w:eastAsia="Times New Roman" w:hAnsi="Times New Roman"/>
          <w:sz w:val="14"/>
          <w:szCs w:val="14"/>
          <w:color w:val="auto"/>
        </w:rPr>
      </w:pPr>
    </w:p>
    <w:p>
      <w:pPr>
        <w:ind w:left="360" w:right="399" w:hanging="8"/>
        <w:spacing w:after="0" w:line="246"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7.3. INDIVIDUAL RIGHTS OF TRUSTEE.</w:t>
      </w:r>
    </w:p>
    <w:p>
      <w:pPr>
        <w:spacing w:after="0" w:line="87" w:lineRule="exact"/>
        <w:rPr>
          <w:sz w:val="20"/>
          <w:szCs w:val="20"/>
          <w:color w:val="auto"/>
        </w:rPr>
      </w:pPr>
    </w:p>
    <w:p>
      <w:pPr>
        <w:ind w:left="360" w:right="479"/>
        <w:spacing w:after="0" w:line="253"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63" w:name="page64"/>
    <w:bookmarkEnd w:id="63"/>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7.4. TRUSTEE’S DISCLAIMER.</w:t>
      </w:r>
    </w:p>
    <w:p>
      <w:pPr>
        <w:spacing w:after="0" w:line="87" w:lineRule="exact"/>
        <w:rPr>
          <w:sz w:val="20"/>
          <w:szCs w:val="20"/>
          <w:color w:val="auto"/>
        </w:rPr>
      </w:pPr>
    </w:p>
    <w:p>
      <w:pPr>
        <w:ind w:left="360" w:right="559"/>
        <w:spacing w:after="0" w:line="249"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7.5. NOTICE OF DEFAULT.</w:t>
      </w:r>
    </w:p>
    <w:p>
      <w:pPr>
        <w:spacing w:after="0" w:line="87"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If a Default or an Event of Default occurs and is continuing with respect to the Securities of any Series, and if it is known to the Trustee, the Trustee shall deliver, or cause to be delivered,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7.6. REPORTS BY TRUSTEE TO HOLDERS.</w:t>
      </w:r>
    </w:p>
    <w:p>
      <w:pPr>
        <w:spacing w:after="0" w:line="87" w:lineRule="exact"/>
        <w:rPr>
          <w:sz w:val="20"/>
          <w:szCs w:val="20"/>
          <w:color w:val="auto"/>
        </w:rPr>
      </w:pPr>
    </w:p>
    <w:p>
      <w:pPr>
        <w:ind w:left="360" w:right="459"/>
        <w:spacing w:after="0" w:line="253" w:lineRule="auto"/>
        <w:rPr>
          <w:sz w:val="20"/>
          <w:szCs w:val="20"/>
          <w:color w:val="auto"/>
        </w:rPr>
      </w:pPr>
      <w:r>
        <w:rPr>
          <w:rFonts w:ascii="Times New Roman" w:cs="Times New Roman" w:eastAsia="Times New Roman" w:hAnsi="Times New Roman"/>
          <w:sz w:val="14"/>
          <w:szCs w:val="14"/>
          <w:color w:val="auto"/>
        </w:rPr>
        <w:t>If and to the extent required by the TIA, within 60 days after April 1 of each year, commencing the April 1 following the date of this Indenture, the Trustee shall deliver, or cause to be delivered, to each Securityholder a brief report dated as of such April 1 that complies with TIA Section 313(a). The Trustee also shall comply with TIA Sections 313(b) and 313(c).</w:t>
      </w:r>
    </w:p>
    <w:p>
      <w:pPr>
        <w:spacing w:after="0" w:line="142" w:lineRule="exact"/>
        <w:rPr>
          <w:sz w:val="20"/>
          <w:szCs w:val="20"/>
          <w:color w:val="auto"/>
        </w:rPr>
      </w:pPr>
    </w:p>
    <w:p>
      <w:pPr>
        <w:jc w:val="both"/>
        <w:ind w:left="360" w:right="599"/>
        <w:spacing w:after="0" w:line="253" w:lineRule="auto"/>
        <w:rPr>
          <w:sz w:val="20"/>
          <w:szCs w:val="20"/>
          <w:color w:val="auto"/>
        </w:rPr>
      </w:pPr>
      <w:r>
        <w:rPr>
          <w:rFonts w:ascii="Times New Roman" w:cs="Times New Roman" w:eastAsia="Times New Roman" w:hAnsi="Times New Roman"/>
          <w:sz w:val="14"/>
          <w:szCs w:val="14"/>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7.7. COMPENSATION AND INDEMNITY.</w:t>
      </w:r>
    </w:p>
    <w:p>
      <w:pPr>
        <w:spacing w:after="0" w:line="87" w:lineRule="exact"/>
        <w:rPr>
          <w:sz w:val="20"/>
          <w:szCs w:val="20"/>
          <w:color w:val="auto"/>
        </w:rPr>
      </w:pPr>
    </w:p>
    <w:p>
      <w:pPr>
        <w:ind w:left="360" w:right="499"/>
        <w:spacing w:after="0" w:line="249" w:lineRule="auto"/>
        <w:rPr>
          <w:sz w:val="20"/>
          <w:szCs w:val="20"/>
          <w:color w:val="auto"/>
        </w:rPr>
      </w:pPr>
      <w:r>
        <w:rPr>
          <w:rFonts w:ascii="Times New Roman" w:cs="Times New Roman" w:eastAsia="Times New Roman" w:hAnsi="Times New Roman"/>
          <w:sz w:val="14"/>
          <w:szCs w:val="14"/>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146" w:lineRule="exact"/>
        <w:rPr>
          <w:sz w:val="20"/>
          <w:szCs w:val="20"/>
          <w:color w:val="auto"/>
        </w:rPr>
      </w:pPr>
    </w:p>
    <w:p>
      <w:pPr>
        <w:ind w:left="360" w:right="459"/>
        <w:spacing w:after="0" w:line="249" w:lineRule="auto"/>
        <w:rPr>
          <w:sz w:val="20"/>
          <w:szCs w:val="20"/>
          <w:color w:val="auto"/>
        </w:rPr>
      </w:pPr>
      <w:r>
        <w:rPr>
          <w:rFonts w:ascii="Times New Roman" w:cs="Times New Roman" w:eastAsia="Times New Roman" w:hAnsi="Times New Roman"/>
          <w:sz w:val="14"/>
          <w:szCs w:val="14"/>
          <w:color w:val="auto"/>
        </w:rPr>
        <w:t>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w:t>
      </w:r>
    </w:p>
    <w:p>
      <w:pPr>
        <w:spacing w:after="0" w:line="146" w:lineRule="exact"/>
        <w:rPr>
          <w:sz w:val="20"/>
          <w:szCs w:val="20"/>
          <w:color w:val="auto"/>
        </w:rPr>
      </w:pPr>
    </w:p>
    <w:p>
      <w:pPr>
        <w:ind w:left="360" w:right="479"/>
        <w:spacing w:after="0" w:line="247" w:lineRule="auto"/>
        <w:rPr>
          <w:sz w:val="20"/>
          <w:szCs w:val="20"/>
          <w:color w:val="auto"/>
        </w:rPr>
      </w:pPr>
      <w:r>
        <w:rPr>
          <w:rFonts w:ascii="Times New Roman" w:cs="Times New Roman" w:eastAsia="Times New Roman" w:hAnsi="Times New Roman"/>
          <w:sz w:val="14"/>
          <w:szCs w:val="14"/>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5" w:right="1440" w:bottom="1440" w:gutter="0" w:footer="0" w:header="0"/>
        </w:sectPr>
      </w:pPr>
    </w:p>
    <w:bookmarkStart w:id="64" w:name="page65"/>
    <w:bookmarkEnd w:id="64"/>
    <w:p>
      <w:pPr>
        <w:ind w:left="360" w:right="99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purposes of this Section 7.7, the term “Trustee” shall include any trustee appointed pursuant to this Article 7.</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7.8. REPLACEMENT OF TRUSTEE.</w:t>
      </w:r>
    </w:p>
    <w:p>
      <w:pPr>
        <w:spacing w:after="0" w:line="87" w:lineRule="exact"/>
        <w:rPr>
          <w:sz w:val="20"/>
          <w:szCs w:val="20"/>
          <w:color w:val="auto"/>
        </w:rPr>
      </w:pPr>
    </w:p>
    <w:p>
      <w:pPr>
        <w:ind w:left="360" w:right="499"/>
        <w:spacing w:after="0" w:line="263"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in writing at least 90 days in advance of such resignation.</w:t>
      </w:r>
    </w:p>
    <w:p>
      <w:pPr>
        <w:spacing w:after="0" w:line="136" w:lineRule="exact"/>
        <w:rPr>
          <w:sz w:val="20"/>
          <w:szCs w:val="20"/>
          <w:color w:val="auto"/>
        </w:rPr>
      </w:pPr>
    </w:p>
    <w:p>
      <w:pPr>
        <w:ind w:left="360" w:right="779"/>
        <w:spacing w:after="0" w:line="315" w:lineRule="auto"/>
        <w:rPr>
          <w:sz w:val="20"/>
          <w:szCs w:val="20"/>
          <w:color w:val="auto"/>
        </w:rPr>
      </w:pPr>
      <w:r>
        <w:rPr>
          <w:rFonts w:ascii="Times New Roman" w:cs="Times New Roman" w:eastAsia="Times New Roman" w:hAnsi="Times New Roman"/>
          <w:sz w:val="12"/>
          <w:szCs w:val="12"/>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27" w:lineRule="exact"/>
        <w:rPr>
          <w:sz w:val="20"/>
          <w:szCs w:val="20"/>
          <w:color w:val="auto"/>
        </w:rPr>
      </w:pPr>
    </w:p>
    <w:p>
      <w:pPr>
        <w:ind w:left="540" w:hanging="188"/>
        <w:spacing w:after="0"/>
        <w:tabs>
          <w:tab w:leader="none" w:pos="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or ceases to be eligible under, Section 7.10;</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a bankrupt or an insolvent, or an order for relief is entered with respect to the Trustee, under any Bankruptcy Law;</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other public officer takes charge of the Trustee or its property; or</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otherwise becomes incapable of acting.</w:t>
      </w:r>
    </w:p>
    <w:p>
      <w:pPr>
        <w:spacing w:after="0" w:line="165" w:lineRule="exact"/>
        <w:rPr>
          <w:sz w:val="20"/>
          <w:szCs w:val="20"/>
          <w:color w:val="auto"/>
        </w:rPr>
      </w:pPr>
    </w:p>
    <w:p>
      <w:pPr>
        <w:ind w:left="360" w:right="479"/>
        <w:spacing w:after="0" w:line="263"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with respect to any Series of Securities for any reason, the Company shall promptly appoint, by Board Resolution, a successor Trustee.</w:t>
      </w:r>
    </w:p>
    <w:p>
      <w:pPr>
        <w:spacing w:after="0" w:line="136" w:lineRule="exact"/>
        <w:rPr>
          <w:sz w:val="20"/>
          <w:szCs w:val="20"/>
          <w:color w:val="auto"/>
        </w:rPr>
      </w:pPr>
    </w:p>
    <w:p>
      <w:pPr>
        <w:ind w:left="360" w:right="399"/>
        <w:spacing w:after="0" w:line="253" w:lineRule="auto"/>
        <w:rPr>
          <w:sz w:val="20"/>
          <w:szCs w:val="20"/>
          <w:color w:val="auto"/>
        </w:rPr>
      </w:pPr>
      <w:r>
        <w:rPr>
          <w:rFonts w:ascii="Times New Roman" w:cs="Times New Roman" w:eastAsia="Times New Roman" w:hAnsi="Times New Roman"/>
          <w:sz w:val="14"/>
          <w:szCs w:val="14"/>
          <w:color w:val="auto"/>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42" w:lineRule="exact"/>
        <w:rPr>
          <w:sz w:val="20"/>
          <w:szCs w:val="20"/>
          <w:color w:val="auto"/>
        </w:rPr>
      </w:pPr>
    </w:p>
    <w:p>
      <w:pPr>
        <w:ind w:left="360" w:right="639"/>
        <w:spacing w:after="0" w:line="263" w:lineRule="auto"/>
        <w:rPr>
          <w:sz w:val="20"/>
          <w:szCs w:val="20"/>
          <w:color w:val="auto"/>
        </w:rPr>
      </w:pPr>
      <w:r>
        <w:rPr>
          <w:rFonts w:ascii="Times New Roman" w:cs="Times New Roman" w:eastAsia="Times New Roman" w:hAnsi="Times New Roman"/>
          <w:sz w:val="14"/>
          <w:szCs w:val="14"/>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36" w:lineRule="exact"/>
        <w:rPr>
          <w:sz w:val="20"/>
          <w:szCs w:val="20"/>
          <w:color w:val="auto"/>
        </w:rPr>
      </w:pPr>
    </w:p>
    <w:p>
      <w:pPr>
        <w:ind w:left="360" w:right="439"/>
        <w:spacing w:after="0" w:line="299" w:lineRule="auto"/>
        <w:rPr>
          <w:sz w:val="20"/>
          <w:szCs w:val="20"/>
          <w:color w:val="auto"/>
        </w:rPr>
      </w:pPr>
      <w:r>
        <w:rPr>
          <w:rFonts w:ascii="Times New Roman" w:cs="Times New Roman" w:eastAsia="Times New Roman" w:hAnsi="Times New Roman"/>
          <w:sz w:val="12"/>
          <w:szCs w:val="12"/>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deliver, or cause to be delivered, notice of its succession to each Securityholder of such Series.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7.9. SUCCESSOR TRUSTEE BY CONSOLIDATION, MERGER OR CONVERSION.</w:t>
      </w:r>
    </w:p>
    <w:p>
      <w:pPr>
        <w:spacing w:after="0" w:line="87" w:lineRule="exact"/>
        <w:rPr>
          <w:sz w:val="20"/>
          <w:szCs w:val="20"/>
          <w:color w:val="auto"/>
        </w:rPr>
      </w:pPr>
    </w:p>
    <w:p>
      <w:pPr>
        <w:ind w:left="360" w:right="759"/>
        <w:spacing w:after="0" w:line="347" w:lineRule="auto"/>
        <w:rPr>
          <w:sz w:val="20"/>
          <w:szCs w:val="20"/>
          <w:color w:val="auto"/>
        </w:rPr>
      </w:pPr>
      <w:r>
        <w:rPr>
          <w:rFonts w:ascii="Times New Roman" w:cs="Times New Roman" w:eastAsia="Times New Roman" w:hAnsi="Times New Roman"/>
          <w:sz w:val="12"/>
          <w:szCs w:val="12"/>
          <w:color w:val="auto"/>
        </w:rPr>
        <w:t>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65" w:name="page66"/>
    <w:bookmarkEnd w:id="65"/>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7.10. ELIGIBILITY; DISQUALIFICATION.</w:t>
      </w:r>
    </w:p>
    <w:p>
      <w:pPr>
        <w:spacing w:after="0" w:line="87" w:lineRule="exact"/>
        <w:rPr>
          <w:sz w:val="20"/>
          <w:szCs w:val="20"/>
          <w:color w:val="auto"/>
        </w:rPr>
      </w:pPr>
    </w:p>
    <w:p>
      <w:pPr>
        <w:ind w:left="360" w:right="439"/>
        <w:spacing w:after="0" w:line="296" w:lineRule="auto"/>
        <w:rPr>
          <w:sz w:val="20"/>
          <w:szCs w:val="20"/>
          <w:color w:val="auto"/>
        </w:rPr>
      </w:pPr>
      <w:r>
        <w:rPr>
          <w:rFonts w:ascii="Times New Roman" w:cs="Times New Roman" w:eastAsia="Times New Roman" w:hAnsi="Times New Roman"/>
          <w:sz w:val="12"/>
          <w:szCs w:val="12"/>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7.11. PREFERENTIAL COLLECTION OF CLAIMS AGAINST COMPANY.</w:t>
      </w:r>
    </w:p>
    <w:p>
      <w:pPr>
        <w:spacing w:after="0" w:line="87" w:lineRule="exact"/>
        <w:rPr>
          <w:sz w:val="20"/>
          <w:szCs w:val="20"/>
          <w:color w:val="auto"/>
        </w:rPr>
      </w:pPr>
    </w:p>
    <w:p>
      <w:pPr>
        <w:ind w:left="360" w:right="399"/>
        <w:spacing w:after="0" w:line="263" w:lineRule="auto"/>
        <w:rPr>
          <w:sz w:val="20"/>
          <w:szCs w:val="20"/>
          <w:color w:val="auto"/>
        </w:rPr>
      </w:pPr>
      <w:r>
        <w:rPr>
          <w:rFonts w:ascii="Times New Roman" w:cs="Times New Roman" w:eastAsia="Times New Roman" w:hAnsi="Times New Roman"/>
          <w:sz w:val="14"/>
          <w:szCs w:val="14"/>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7.12. PAYING AGENTS.</w:t>
      </w:r>
    </w:p>
    <w:p>
      <w:pPr>
        <w:spacing w:after="0" w:line="87" w:lineRule="exact"/>
        <w:rPr>
          <w:sz w:val="20"/>
          <w:szCs w:val="20"/>
          <w:color w:val="auto"/>
        </w:rPr>
      </w:pPr>
    </w:p>
    <w:p>
      <w:pPr>
        <w:ind w:left="360" w:right="479"/>
        <w:spacing w:after="0" w:line="263" w:lineRule="auto"/>
        <w:rPr>
          <w:sz w:val="20"/>
          <w:szCs w:val="20"/>
          <w:color w:val="auto"/>
        </w:rPr>
      </w:pPr>
      <w:r>
        <w:rPr>
          <w:rFonts w:ascii="Times New Roman" w:cs="Times New Roman" w:eastAsia="Times New Roman" w:hAnsi="Times New Roman"/>
          <w:sz w:val="14"/>
          <w:szCs w:val="14"/>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54" w:lineRule="exact"/>
        <w:rPr>
          <w:sz w:val="20"/>
          <w:szCs w:val="20"/>
          <w:color w:val="auto"/>
        </w:rPr>
      </w:pPr>
    </w:p>
    <w:p>
      <w:pPr>
        <w:ind w:left="360" w:right="459" w:hanging="8"/>
        <w:spacing w:after="0" w:line="263" w:lineRule="auto"/>
        <w:tabs>
          <w:tab w:leader="none" w:pos="5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35" w:lineRule="exact"/>
        <w:rPr>
          <w:rFonts w:ascii="Times New Roman" w:cs="Times New Roman" w:eastAsia="Times New Roman" w:hAnsi="Times New Roman"/>
          <w:sz w:val="14"/>
          <w:szCs w:val="14"/>
          <w:color w:val="auto"/>
        </w:rPr>
      </w:pPr>
    </w:p>
    <w:p>
      <w:pPr>
        <w:ind w:left="360" w:right="459" w:hanging="8"/>
        <w:spacing w:after="0" w:line="263" w:lineRule="auto"/>
        <w:tabs>
          <w:tab w:leader="none" w:pos="5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at any time during the continuance of any Event of Default, upon written request from the Trustee, deliver to the Trustee all sums so held in trust by it together with a full accounting thereof; and</w:t>
      </w:r>
    </w:p>
    <w:p>
      <w:pPr>
        <w:spacing w:after="0" w:line="135" w:lineRule="exact"/>
        <w:rPr>
          <w:rFonts w:ascii="Times New Roman" w:cs="Times New Roman" w:eastAsia="Times New Roman" w:hAnsi="Times New Roman"/>
          <w:sz w:val="14"/>
          <w:szCs w:val="14"/>
          <w:color w:val="auto"/>
        </w:rPr>
      </w:pPr>
    </w:p>
    <w:p>
      <w:pPr>
        <w:ind w:left="360" w:right="579" w:hanging="8"/>
        <w:spacing w:after="0" w:line="263" w:lineRule="auto"/>
        <w:tabs>
          <w:tab w:leader="none" w:pos="5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8 –</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AMENDMENTS, SUPPLEMENTS AND WAIVERS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8.1. WITHOUT CONSENT OF HOLDERS.</w:t>
      </w:r>
    </w:p>
    <w:p>
      <w:pPr>
        <w:spacing w:after="0" w:line="87" w:lineRule="exact"/>
        <w:rPr>
          <w:sz w:val="20"/>
          <w:szCs w:val="20"/>
          <w:color w:val="auto"/>
        </w:rPr>
      </w:pPr>
    </w:p>
    <w:p>
      <w:pPr>
        <w:ind w:left="360" w:right="419"/>
        <w:spacing w:after="0" w:line="263" w:lineRule="auto"/>
        <w:rPr>
          <w:sz w:val="20"/>
          <w:szCs w:val="20"/>
          <w:color w:val="auto"/>
        </w:rPr>
      </w:pPr>
      <w:r>
        <w:rPr>
          <w:rFonts w:ascii="Times New Roman" w:cs="Times New Roman" w:eastAsia="Times New Roman" w:hAnsi="Times New Roman"/>
          <w:sz w:val="14"/>
          <w:szCs w:val="14"/>
          <w:color w:val="auto"/>
        </w:rPr>
        <w:t>The Company, when authorized by a Board Resolution, and the Trustee may amend or supplement this Indenture or the Securities of one or more Series without notice to or consent of any Securityholder:</w:t>
      </w:r>
    </w:p>
    <w:p>
      <w:pPr>
        <w:spacing w:after="0" w:line="54" w:lineRule="exact"/>
        <w:rPr>
          <w:sz w:val="20"/>
          <w:szCs w:val="20"/>
          <w:color w:val="auto"/>
        </w:rPr>
      </w:pPr>
    </w:p>
    <w:p>
      <w:pPr>
        <w:ind w:left="540" w:hanging="188"/>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Section 5.1;</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certificated Securities in addition to uncertificated Securities;</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under the TIA;</w:t>
      </w:r>
    </w:p>
    <w:p>
      <w:pPr>
        <w:spacing w:after="0" w:line="164" w:lineRule="exact"/>
        <w:rPr>
          <w:rFonts w:ascii="Times New Roman" w:cs="Times New Roman" w:eastAsia="Times New Roman" w:hAnsi="Times New Roman"/>
          <w:sz w:val="14"/>
          <w:szCs w:val="14"/>
          <w:color w:val="auto"/>
        </w:rPr>
      </w:pPr>
    </w:p>
    <w:p>
      <w:pPr>
        <w:ind w:left="360" w:right="519" w:hanging="8"/>
        <w:spacing w:after="0" w:line="263" w:lineRule="auto"/>
        <w:tabs>
          <w:tab w:leader="none" w:pos="55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or to make any other change herein or in the Securities that does not materially and adversely affect the rights of any Securityholder;</w:t>
      </w:r>
    </w:p>
    <w:p>
      <w:pPr>
        <w:spacing w:after="0" w:line="135"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Securities of any Series as permitted by this Indenture; or</w:t>
      </w:r>
    </w:p>
    <w:p>
      <w:pPr>
        <w:spacing w:after="0" w:line="164" w:lineRule="exact"/>
        <w:rPr>
          <w:rFonts w:ascii="Times New Roman" w:cs="Times New Roman" w:eastAsia="Times New Roman" w:hAnsi="Times New Roman"/>
          <w:sz w:val="14"/>
          <w:szCs w:val="14"/>
          <w:color w:val="auto"/>
        </w:rPr>
      </w:pPr>
    </w:p>
    <w:p>
      <w:pPr>
        <w:ind w:left="360" w:right="399" w:hanging="8"/>
        <w:spacing w:after="0" w:line="253" w:lineRule="auto"/>
        <w:tabs>
          <w:tab w:leader="none" w:pos="55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5" w:right="1440" w:bottom="1440" w:gutter="0" w:footer="0" w:header="0"/>
        </w:sectPr>
      </w:pPr>
    </w:p>
    <w:bookmarkStart w:id="66" w:name="page67"/>
    <w:bookmarkEnd w:id="66"/>
    <w:p>
      <w:pPr>
        <w:ind w:left="360" w:right="4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8.2. WITH CONSENT OF HOLDERS.</w:t>
      </w:r>
    </w:p>
    <w:p>
      <w:pPr>
        <w:spacing w:after="0" w:line="87" w:lineRule="exact"/>
        <w:rPr>
          <w:sz w:val="20"/>
          <w:szCs w:val="20"/>
          <w:color w:val="auto"/>
        </w:rPr>
      </w:pPr>
    </w:p>
    <w:p>
      <w:pPr>
        <w:ind w:left="360" w:right="459" w:hanging="8"/>
        <w:spacing w:after="0" w:line="246" w:lineRule="auto"/>
        <w:tabs>
          <w:tab w:leader="none" w:pos="54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spacing w:after="0" w:line="68" w:lineRule="exact"/>
        <w:rPr>
          <w:sz w:val="20"/>
          <w:szCs w:val="20"/>
          <w:color w:val="auto"/>
        </w:rPr>
      </w:pPr>
    </w:p>
    <w:p>
      <w:pPr>
        <w:ind w:left="540" w:hanging="188"/>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Securities whose Holders must consent to an amendment, supplement or waiver to this Indenture or the Securities;</w:t>
      </w:r>
    </w:p>
    <w:p>
      <w:pPr>
        <w:spacing w:after="0" w:line="164"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Security;</w:t>
      </w:r>
    </w:p>
    <w:p>
      <w:pPr>
        <w:spacing w:after="0" w:line="164" w:lineRule="exact"/>
        <w:rPr>
          <w:rFonts w:ascii="Times New Roman" w:cs="Times New Roman" w:eastAsia="Times New Roman" w:hAnsi="Times New Roman"/>
          <w:sz w:val="14"/>
          <w:szCs w:val="14"/>
          <w:color w:val="auto"/>
        </w:rPr>
      </w:pPr>
    </w:p>
    <w:p>
      <w:pPr>
        <w:ind w:left="360" w:right="699" w:hanging="8"/>
        <w:spacing w:after="0" w:line="263" w:lineRule="auto"/>
        <w:tabs>
          <w:tab w:leader="none" w:pos="5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or change the Stated Maturity, of any Security, or reduce the amount of, or postpone the date fixed for, the payment of any sinking fund or analogous obligation;</w:t>
      </w:r>
    </w:p>
    <w:p>
      <w:pPr>
        <w:spacing w:after="0" w:line="135"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Security payable in money other than that stated in the Security;</w:t>
      </w:r>
    </w:p>
    <w:p>
      <w:pPr>
        <w:spacing w:after="0" w:line="164" w:lineRule="exact"/>
        <w:rPr>
          <w:rFonts w:ascii="Times New Roman" w:cs="Times New Roman" w:eastAsia="Times New Roman" w:hAnsi="Times New Roman"/>
          <w:sz w:val="14"/>
          <w:szCs w:val="14"/>
          <w:color w:val="auto"/>
        </w:rPr>
      </w:pPr>
    </w:p>
    <w:p>
      <w:pPr>
        <w:ind w:left="360" w:right="699" w:hanging="8"/>
        <w:spacing w:after="0" w:line="263" w:lineRule="auto"/>
        <w:tabs>
          <w:tab w:leader="none" w:pos="5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amount or time of any payment required by the Securities, or reduce the premium payable upon any redemption of the Securities, or change the time before which no such redemption may be made;</w:t>
      </w:r>
    </w:p>
    <w:p>
      <w:pPr>
        <w:spacing w:after="0" w:line="135" w:lineRule="exact"/>
        <w:rPr>
          <w:rFonts w:ascii="Times New Roman" w:cs="Times New Roman" w:eastAsia="Times New Roman" w:hAnsi="Times New Roman"/>
          <w:sz w:val="14"/>
          <w:szCs w:val="14"/>
          <w:color w:val="auto"/>
        </w:rPr>
      </w:pPr>
    </w:p>
    <w:p>
      <w:pPr>
        <w:ind w:left="360" w:right="579" w:hanging="8"/>
        <w:spacing w:after="0" w:line="253" w:lineRule="auto"/>
        <w:tabs>
          <w:tab w:leader="none" w:pos="5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42"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or change any of the provisions with respect to the redemption of any Securities;</w:t>
      </w:r>
    </w:p>
    <w:p>
      <w:pPr>
        <w:spacing w:after="0" w:line="164" w:lineRule="exact"/>
        <w:rPr>
          <w:rFonts w:ascii="Times New Roman" w:cs="Times New Roman" w:eastAsia="Times New Roman" w:hAnsi="Times New Roman"/>
          <w:sz w:val="14"/>
          <w:szCs w:val="14"/>
          <w:color w:val="auto"/>
        </w:rPr>
      </w:pPr>
    </w:p>
    <w:p>
      <w:pPr>
        <w:ind w:left="360" w:right="779" w:hanging="8"/>
        <w:spacing w:after="0" w:line="263" w:lineRule="auto"/>
        <w:tabs>
          <w:tab w:leader="none" w:pos="5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in Section 6.6 or this Section 8.2, except to increase any percentage of Securities the Holders of which must consent to any matter; or</w:t>
      </w:r>
    </w:p>
    <w:p>
      <w:pPr>
        <w:spacing w:after="0" w:line="135"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other action otherwise prohibited by this Indenture to be taken without the consent of each Holder affected thereby.</w:t>
      </w:r>
    </w:p>
    <w:p>
      <w:pPr>
        <w:spacing w:after="0" w:line="165" w:lineRule="exact"/>
        <w:rPr>
          <w:sz w:val="20"/>
          <w:szCs w:val="20"/>
          <w:color w:val="auto"/>
        </w:rPr>
      </w:pPr>
    </w:p>
    <w:p>
      <w:pPr>
        <w:ind w:left="360" w:right="479" w:hanging="8"/>
        <w:spacing w:after="0" w:line="247" w:lineRule="auto"/>
        <w:tabs>
          <w:tab w:leader="none" w:pos="5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48" w:lineRule="exact"/>
        <w:rPr>
          <w:rFonts w:ascii="Times New Roman" w:cs="Times New Roman" w:eastAsia="Times New Roman" w:hAnsi="Times New Roman"/>
          <w:sz w:val="14"/>
          <w:szCs w:val="14"/>
          <w:color w:val="auto"/>
        </w:rPr>
      </w:pPr>
    </w:p>
    <w:p>
      <w:pPr>
        <w:ind w:left="360" w:right="459" w:hanging="8"/>
        <w:spacing w:after="0" w:line="263" w:lineRule="auto"/>
        <w:tabs>
          <w:tab w:leader="none" w:pos="54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not be necessary for the consent of the Holders under this section to approve the particular form of any proposed amendment, supplement or waiver, but it shall be sufficient if such consent approves the substance thereof.</w:t>
      </w:r>
    </w:p>
    <w:p>
      <w:pPr>
        <w:spacing w:after="0" w:line="136" w:lineRule="exact"/>
        <w:rPr>
          <w:sz w:val="20"/>
          <w:szCs w:val="20"/>
          <w:color w:val="auto"/>
        </w:rPr>
      </w:pPr>
    </w:p>
    <w:p>
      <w:pPr>
        <w:ind w:left="360" w:right="499"/>
        <w:spacing w:after="0" w:line="253" w:lineRule="auto"/>
        <w:rPr>
          <w:sz w:val="20"/>
          <w:szCs w:val="20"/>
          <w:color w:val="auto"/>
        </w:rPr>
      </w:pPr>
      <w:r>
        <w:rPr>
          <w:rFonts w:ascii="Times New Roman" w:cs="Times New Roman" w:eastAsia="Times New Roman" w:hAnsi="Times New Roman"/>
          <w:sz w:val="14"/>
          <w:szCs w:val="14"/>
          <w:color w:val="auto"/>
        </w:rPr>
        <w:t>After an amendment or supplement under this Section becomes effective, the Company shall deliver, or cause to be delivered, to Securityholders a notice briefly describing the amendment or supplement. Any failure of the Company to mail any such notice, or any defect therein, shall not, however, in any way impair or affect the validity of any supplemental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67" w:name="page68"/>
    <w:bookmarkEnd w:id="67"/>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04710" cy="32385"/>
                    </a:xfrm>
                    <a:prstGeom prst="rect">
                      <a:avLst/>
                    </a:prstGeom>
                    <a:noFill/>
                  </pic:spPr>
                </pic:pic>
              </a:graphicData>
            </a:graphic>
          </wp:anchor>
        </w:drawing>
        <w:t>8.3. COMPLIANCE WITH TRUST INDENTURE ACT.</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Every amendment to, or supplement of, this Indenture or the Securities shall comply with the TIA as then in effect.</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8.4. REVOCATION AND EFFECT OF CONSENTS.</w:t>
      </w:r>
    </w:p>
    <w:p>
      <w:pPr>
        <w:spacing w:after="0" w:line="87"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spacing w:after="0" w:line="148"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spacing w:after="0" w:line="148"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8.5. NOTATION ON OR EXCHANGE OF SECURITIES.</w:t>
      </w:r>
    </w:p>
    <w:p>
      <w:pPr>
        <w:spacing w:after="0" w:line="87" w:lineRule="exact"/>
        <w:rPr>
          <w:sz w:val="20"/>
          <w:szCs w:val="20"/>
          <w:color w:val="auto"/>
        </w:rPr>
      </w:pPr>
    </w:p>
    <w:p>
      <w:pPr>
        <w:ind w:left="360" w:right="439"/>
        <w:spacing w:after="0" w:line="304" w:lineRule="auto"/>
        <w:rPr>
          <w:sz w:val="20"/>
          <w:szCs w:val="20"/>
          <w:color w:val="auto"/>
        </w:rPr>
      </w:pPr>
      <w:r>
        <w:rPr>
          <w:rFonts w:ascii="Times New Roman" w:cs="Times New Roman" w:eastAsia="Times New Roman" w:hAnsi="Times New Roman"/>
          <w:sz w:val="12"/>
          <w:szCs w:val="12"/>
          <w:color w:val="auto"/>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8.6. TRUSTEE TO SIGN AMENDMENTS, ETC.</w:t>
      </w:r>
    </w:p>
    <w:p>
      <w:pPr>
        <w:spacing w:after="0" w:line="87" w:lineRule="exact"/>
        <w:rPr>
          <w:sz w:val="20"/>
          <w:szCs w:val="20"/>
          <w:color w:val="auto"/>
        </w:rPr>
      </w:pPr>
    </w:p>
    <w:p>
      <w:pPr>
        <w:ind w:left="360" w:right="459"/>
        <w:spacing w:after="0" w:line="247" w:lineRule="auto"/>
        <w:rPr>
          <w:sz w:val="20"/>
          <w:szCs w:val="20"/>
          <w:color w:val="auto"/>
        </w:rPr>
      </w:pPr>
      <w:r>
        <w:rPr>
          <w:rFonts w:ascii="Times New Roman" w:cs="Times New Roman" w:eastAsia="Times New Roman" w:hAnsi="Times New Roman"/>
          <w:sz w:val="14"/>
          <w:szCs w:val="14"/>
          <w:color w:val="auto"/>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5"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9 –</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DISCHARGE OF INDENTURE; DEFEASANCE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9.1. DISCHARGE OF INDENTURE.</w:t>
      </w:r>
    </w:p>
    <w:p>
      <w:pPr>
        <w:spacing w:after="0" w:line="87" w:lineRule="exact"/>
        <w:rPr>
          <w:sz w:val="20"/>
          <w:szCs w:val="20"/>
          <w:color w:val="auto"/>
        </w:rPr>
      </w:pPr>
    </w:p>
    <w:p>
      <w:pPr>
        <w:ind w:left="360" w:right="359"/>
        <w:spacing w:after="0" w:line="247" w:lineRule="auto"/>
        <w:rPr>
          <w:sz w:val="20"/>
          <w:szCs w:val="20"/>
          <w:color w:val="auto"/>
        </w:rPr>
      </w:pPr>
      <w:r>
        <w:rPr>
          <w:rFonts w:ascii="Times New Roman" w:cs="Times New Roman" w:eastAsia="Times New Roman" w:hAnsi="Times New Roman"/>
          <w:sz w:val="14"/>
          <w:szCs w:val="14"/>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48" w:lineRule="exact"/>
        <w:rPr>
          <w:sz w:val="20"/>
          <w:szCs w:val="20"/>
          <w:color w:val="auto"/>
        </w:rPr>
      </w:pPr>
    </w:p>
    <w:p>
      <w:pPr>
        <w:ind w:left="360" w:right="539"/>
        <w:spacing w:after="0" w:line="263" w:lineRule="auto"/>
        <w:rPr>
          <w:sz w:val="20"/>
          <w:szCs w:val="20"/>
          <w:color w:val="auto"/>
        </w:rPr>
      </w:pPr>
      <w:r>
        <w:rPr>
          <w:rFonts w:ascii="Times New Roman" w:cs="Times New Roman" w:eastAsia="Times New Roman" w:hAnsi="Times New Roman"/>
          <w:sz w:val="14"/>
          <w:szCs w:val="14"/>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Notwithstanding the satisfaction and discharge of this Indenture, the obligations of the Company in Sections 7.7, 9.5 and 9.6 shall survive.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9.2. LEGAL DEFEASANCE.</w:t>
      </w:r>
    </w:p>
    <w:p>
      <w:pPr>
        <w:spacing w:after="0" w:line="87" w:lineRule="exact"/>
        <w:rPr>
          <w:sz w:val="20"/>
          <w:szCs w:val="20"/>
          <w:color w:val="auto"/>
        </w:rPr>
      </w:pPr>
    </w:p>
    <w:p>
      <w:pPr>
        <w:ind w:left="360" w:right="379"/>
        <w:spacing w:after="0" w:line="244" w:lineRule="auto"/>
        <w:rPr>
          <w:sz w:val="20"/>
          <w:szCs w:val="20"/>
          <w:color w:val="auto"/>
        </w:rPr>
      </w:pPr>
      <w:r>
        <w:rPr>
          <w:rFonts w:ascii="Times New Roman" w:cs="Times New Roman" w:eastAsia="Times New Roman" w:hAnsi="Times New Roman"/>
          <w:sz w:val="14"/>
          <w:szCs w:val="14"/>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9.3. COVENANT DEFEASANCE.</w:t>
      </w:r>
    </w:p>
    <w:p>
      <w:pPr>
        <w:spacing w:after="0" w:line="87" w:lineRule="exact"/>
        <w:rPr>
          <w:sz w:val="20"/>
          <w:szCs w:val="20"/>
          <w:color w:val="auto"/>
        </w:rPr>
      </w:pPr>
    </w:p>
    <w:p>
      <w:pPr>
        <w:ind w:left="360" w:right="419"/>
        <w:spacing w:after="0" w:line="246" w:lineRule="auto"/>
        <w:rPr>
          <w:sz w:val="20"/>
          <w:szCs w:val="20"/>
          <w:color w:val="auto"/>
        </w:rPr>
      </w:pPr>
      <w:r>
        <w:rPr>
          <w:rFonts w:ascii="Times New Roman" w:cs="Times New Roman" w:eastAsia="Times New Roman" w:hAnsi="Times New Roman"/>
          <w:sz w:val="14"/>
          <w:szCs w:val="14"/>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9.4. CONDITIONS TO LEGAL DEFEASANCE OR COVENANT DEFEASANCE.</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shall be the conditions to application of Section 9.2 or Section 9.3 to the outstanding Securities of a Series:</w:t>
      </w:r>
    </w:p>
    <w:p>
      <w:pPr>
        <w:spacing w:after="0" w:line="83" w:lineRule="exact"/>
        <w:rPr>
          <w:sz w:val="20"/>
          <w:szCs w:val="20"/>
          <w:color w:val="auto"/>
        </w:rPr>
      </w:pPr>
    </w:p>
    <w:p>
      <w:pPr>
        <w:ind w:left="360" w:right="379" w:hanging="8"/>
        <w:spacing w:after="0" w:line="246" w:lineRule="auto"/>
        <w:tabs>
          <w:tab w:leader="none" w:pos="55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5" w:right="1440" w:bottom="1440" w:gutter="0" w:footer="0" w:header="0"/>
        </w:sectPr>
      </w:pPr>
    </w:p>
    <w:bookmarkStart w:id="69" w:name="page70"/>
    <w:bookmarkEnd w:id="69"/>
    <w:p>
      <w:pPr>
        <w:ind w:left="360" w:right="419"/>
        <w:spacing w:after="0" w:line="31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08" w:lineRule="exact"/>
        <w:rPr>
          <w:sz w:val="20"/>
          <w:szCs w:val="20"/>
          <w:color w:val="auto"/>
        </w:rPr>
      </w:pPr>
    </w:p>
    <w:p>
      <w:pPr>
        <w:ind w:left="360" w:right="379" w:hanging="8"/>
        <w:spacing w:after="0" w:line="253"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(it being understood that this condition shall not be deemed satisfied until the expiration of such period);</w:t>
      </w:r>
    </w:p>
    <w:p>
      <w:pPr>
        <w:spacing w:after="0" w:line="142" w:lineRule="exact"/>
        <w:rPr>
          <w:rFonts w:ascii="Times New Roman" w:cs="Times New Roman" w:eastAsia="Times New Roman" w:hAnsi="Times New Roman"/>
          <w:sz w:val="14"/>
          <w:szCs w:val="14"/>
          <w:color w:val="auto"/>
        </w:rPr>
      </w:pPr>
    </w:p>
    <w:p>
      <w:pPr>
        <w:ind w:left="360" w:right="439" w:hanging="8"/>
        <w:spacing w:after="0" w:line="263"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Legal Defeasance or Covenant Defeasance shall not cause the Trustee to have a conflicting interest for purposes of the TIA with respect to any securities of the Company;</w:t>
      </w:r>
    </w:p>
    <w:p>
      <w:pPr>
        <w:spacing w:after="0" w:line="135" w:lineRule="exact"/>
        <w:rPr>
          <w:rFonts w:ascii="Times New Roman" w:cs="Times New Roman" w:eastAsia="Times New Roman" w:hAnsi="Times New Roman"/>
          <w:sz w:val="14"/>
          <w:szCs w:val="14"/>
          <w:color w:val="auto"/>
        </w:rPr>
      </w:pPr>
    </w:p>
    <w:p>
      <w:pPr>
        <w:ind w:left="360" w:right="779" w:hanging="8"/>
        <w:spacing w:after="0" w:line="263"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Legal Defeasance or Covenant Defeasance shall not result in a breach or violation of, or constitute default under, any other agreement or instrument to which the Company is a party or by which it is bound;</w:t>
      </w:r>
    </w:p>
    <w:p>
      <w:pPr>
        <w:spacing w:after="0" w:line="135" w:lineRule="exact"/>
        <w:rPr>
          <w:rFonts w:ascii="Times New Roman" w:cs="Times New Roman" w:eastAsia="Times New Roman" w:hAnsi="Times New Roman"/>
          <w:sz w:val="14"/>
          <w:szCs w:val="14"/>
          <w:color w:val="auto"/>
        </w:rPr>
      </w:pPr>
    </w:p>
    <w:p>
      <w:pPr>
        <w:ind w:left="360" w:right="519" w:hanging="8"/>
        <w:spacing w:after="0" w:line="347" w:lineRule="auto"/>
        <w:tabs>
          <w:tab w:leader="none" w:pos="55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89" w:lineRule="exact"/>
        <w:rPr>
          <w:rFonts w:ascii="Times New Roman" w:cs="Times New Roman" w:eastAsia="Times New Roman" w:hAnsi="Times New Roman"/>
          <w:sz w:val="12"/>
          <w:szCs w:val="12"/>
          <w:color w:val="auto"/>
        </w:rPr>
      </w:pPr>
    </w:p>
    <w:p>
      <w:pPr>
        <w:ind w:left="360" w:right="419" w:hanging="8"/>
        <w:spacing w:after="0" w:line="246"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149" w:lineRule="exact"/>
        <w:rPr>
          <w:rFonts w:ascii="Times New Roman" w:cs="Times New Roman" w:eastAsia="Times New Roman" w:hAnsi="Times New Roman"/>
          <w:sz w:val="14"/>
          <w:szCs w:val="14"/>
          <w:color w:val="auto"/>
        </w:rPr>
      </w:pPr>
    </w:p>
    <w:p>
      <w:pPr>
        <w:ind w:left="360" w:right="459" w:hanging="8"/>
        <w:spacing w:after="0" w:line="249"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45" w:lineRule="exact"/>
        <w:rPr>
          <w:rFonts w:ascii="Times New Roman" w:cs="Times New Roman" w:eastAsia="Times New Roman" w:hAnsi="Times New Roman"/>
          <w:sz w:val="14"/>
          <w:szCs w:val="14"/>
          <w:color w:val="auto"/>
        </w:rPr>
      </w:pPr>
    </w:p>
    <w:p>
      <w:pPr>
        <w:ind w:left="360" w:right="519" w:hanging="8"/>
        <w:spacing w:after="0" w:line="253"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42" w:lineRule="exact"/>
        <w:rPr>
          <w:rFonts w:ascii="Times New Roman" w:cs="Times New Roman" w:eastAsia="Times New Roman" w:hAnsi="Times New Roman"/>
          <w:sz w:val="14"/>
          <w:szCs w:val="14"/>
          <w:color w:val="auto"/>
        </w:rPr>
      </w:pPr>
    </w:p>
    <w:p>
      <w:pPr>
        <w:ind w:left="360" w:right="419" w:hanging="8"/>
        <w:spacing w:after="0" w:line="263"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35" w:lineRule="exact"/>
        <w:rPr>
          <w:rFonts w:ascii="Times New Roman" w:cs="Times New Roman" w:eastAsia="Times New Roman" w:hAnsi="Times New Roman"/>
          <w:sz w:val="14"/>
          <w:szCs w:val="14"/>
          <w:color w:val="auto"/>
        </w:rPr>
      </w:pPr>
    </w:p>
    <w:p>
      <w:pPr>
        <w:ind w:left="360" w:right="579" w:hanging="8"/>
        <w:spacing w:after="0" w:line="263" w:lineRule="auto"/>
        <w:tabs>
          <w:tab w:leader="none" w:pos="6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paid, or duly provided for payment under terms mutually satisfactory to the Company and the Trustee, all amounts then due to the Trustee pursuant to Section 7.7.</w:t>
      </w:r>
    </w:p>
    <w:p>
      <w:pPr>
        <w:spacing w:after="0" w:line="213" w:lineRule="exact"/>
        <w:rPr>
          <w:sz w:val="20"/>
          <w:szCs w:val="20"/>
          <w:color w:val="auto"/>
        </w:rPr>
      </w:pPr>
    </w:p>
    <w:p>
      <w:pPr>
        <w:ind w:left="360" w:right="1379"/>
        <w:spacing w:after="0" w:line="269" w:lineRule="auto"/>
        <w:rPr>
          <w:sz w:val="20"/>
          <w:szCs w:val="20"/>
          <w:color w:val="auto"/>
        </w:rPr>
      </w:pPr>
      <w:r>
        <w:rPr>
          <w:rFonts w:ascii="Times New Roman" w:cs="Times New Roman" w:eastAsia="Times New Roman" w:hAnsi="Times New Roman"/>
          <w:sz w:val="14"/>
          <w:szCs w:val="14"/>
          <w:b w:val="1"/>
          <w:bCs w:val="1"/>
          <w:color w:val="auto"/>
        </w:rPr>
        <w:t>9.5. DEPOSITED MONEY AND U.S. AND FOREIGN GOVERNMENT OBLIGATIONS TO BE HELD IN TRUST; OTHER MISCELLANEOUS PROVISIONS.</w:t>
      </w:r>
    </w:p>
    <w:p>
      <w:pPr>
        <w:spacing w:after="0" w:line="50" w:lineRule="exact"/>
        <w:rPr>
          <w:sz w:val="20"/>
          <w:szCs w:val="20"/>
          <w:color w:val="auto"/>
        </w:rPr>
      </w:pPr>
    </w:p>
    <w:p>
      <w:pPr>
        <w:ind w:left="360" w:right="419"/>
        <w:spacing w:after="0" w:line="247" w:lineRule="auto"/>
        <w:rPr>
          <w:sz w:val="20"/>
          <w:szCs w:val="20"/>
          <w:color w:val="auto"/>
        </w:rPr>
      </w:pPr>
      <w:r>
        <w:rPr>
          <w:rFonts w:ascii="Times New Roman" w:cs="Times New Roman" w:eastAsia="Times New Roman" w:hAnsi="Times New Roman"/>
          <w:sz w:val="14"/>
          <w:szCs w:val="14"/>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70" w:name="page71"/>
    <w:bookmarkEnd w:id="70"/>
    <w:p>
      <w:pPr>
        <w:ind w:left="360" w:right="4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42" w:lineRule="exact"/>
        <w:rPr>
          <w:sz w:val="20"/>
          <w:szCs w:val="20"/>
          <w:color w:val="auto"/>
        </w:rPr>
      </w:pPr>
    </w:p>
    <w:p>
      <w:pPr>
        <w:ind w:left="360" w:right="359"/>
        <w:spacing w:after="0" w:line="247" w:lineRule="auto"/>
        <w:rPr>
          <w:sz w:val="20"/>
          <w:szCs w:val="20"/>
          <w:color w:val="auto"/>
        </w:rPr>
      </w:pPr>
      <w:r>
        <w:rPr>
          <w:rFonts w:ascii="Times New Roman" w:cs="Times New Roman" w:eastAsia="Times New Roman" w:hAnsi="Times New Roman"/>
          <w:sz w:val="14"/>
          <w:szCs w:val="14"/>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9.6. REINSTATEMENT.</w:t>
      </w:r>
    </w:p>
    <w:p>
      <w:pPr>
        <w:spacing w:after="0" w:line="87" w:lineRule="exact"/>
        <w:rPr>
          <w:sz w:val="20"/>
          <w:szCs w:val="20"/>
          <w:color w:val="auto"/>
        </w:rPr>
      </w:pPr>
    </w:p>
    <w:p>
      <w:pPr>
        <w:ind w:left="360" w:right="499"/>
        <w:spacing w:after="0" w:line="245" w:lineRule="auto"/>
        <w:rPr>
          <w:sz w:val="20"/>
          <w:szCs w:val="20"/>
          <w:color w:val="auto"/>
        </w:rPr>
      </w:pPr>
      <w:r>
        <w:rPr>
          <w:rFonts w:ascii="Times New Roman" w:cs="Times New Roman" w:eastAsia="Times New Roman" w:hAnsi="Times New Roman"/>
          <w:sz w:val="14"/>
          <w:szCs w:val="14"/>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9.7. MONEYS HELD BY PAYING AGENT.</w:t>
      </w:r>
    </w:p>
    <w:p>
      <w:pPr>
        <w:spacing w:after="0" w:line="87" w:lineRule="exact"/>
        <w:rPr>
          <w:sz w:val="20"/>
          <w:szCs w:val="20"/>
          <w:color w:val="auto"/>
        </w:rPr>
      </w:pPr>
    </w:p>
    <w:p>
      <w:pPr>
        <w:ind w:left="360" w:right="539"/>
        <w:spacing w:after="0" w:line="253"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9.8. MONEYS HELD BY TRUSTEE.</w:t>
      </w:r>
    </w:p>
    <w:p>
      <w:pPr>
        <w:spacing w:after="0" w:line="87" w:lineRule="exact"/>
        <w:rPr>
          <w:sz w:val="20"/>
          <w:szCs w:val="20"/>
          <w:color w:val="auto"/>
        </w:rPr>
      </w:pPr>
    </w:p>
    <w:p>
      <w:pPr>
        <w:ind w:left="360" w:right="379"/>
        <w:spacing w:after="0" w:line="244" w:lineRule="auto"/>
        <w:rPr>
          <w:sz w:val="20"/>
          <w:szCs w:val="20"/>
          <w:color w:val="auto"/>
        </w:rPr>
      </w:pPr>
      <w:r>
        <w:rPr>
          <w:rFonts w:ascii="Times New Roman" w:cs="Times New Roman" w:eastAsia="Times New Roman" w:hAnsi="Times New Roman"/>
          <w:sz w:val="14"/>
          <w:szCs w:val="14"/>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10 –</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 TRUST INDENTURE ACT CONTROLS.</w:t>
      </w:r>
    </w:p>
    <w:p>
      <w:pPr>
        <w:spacing w:after="0" w:line="87" w:lineRule="exact"/>
        <w:rPr>
          <w:sz w:val="20"/>
          <w:szCs w:val="20"/>
          <w:color w:val="auto"/>
        </w:rPr>
      </w:pPr>
    </w:p>
    <w:p>
      <w:pPr>
        <w:ind w:left="360" w:right="379"/>
        <w:spacing w:after="0" w:line="253"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10.2. NOTICES.</w:t>
      </w:r>
    </w:p>
    <w:p>
      <w:pPr>
        <w:spacing w:after="0" w:line="87" w:lineRule="exact"/>
        <w:rPr>
          <w:sz w:val="20"/>
          <w:szCs w:val="20"/>
          <w:color w:val="auto"/>
        </w:rPr>
      </w:pPr>
    </w:p>
    <w:p>
      <w:pPr>
        <w:ind w:left="360" w:right="679"/>
        <w:spacing w:after="0" w:line="263" w:lineRule="auto"/>
        <w:rPr>
          <w:sz w:val="20"/>
          <w:szCs w:val="20"/>
          <w:color w:val="auto"/>
        </w:rPr>
      </w:pPr>
      <w:r>
        <w:rPr>
          <w:rFonts w:ascii="Times New Roman" w:cs="Times New Roman" w:eastAsia="Times New Roman" w:hAnsi="Times New Roman"/>
          <w:sz w:val="14"/>
          <w:szCs w:val="14"/>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415 Holiday Drive, Suite 100</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Pittsburgh, PA 15220</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Attention: General Counsel and Corporate Secretary</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 to:</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Morgan, Lewis &amp; Bockius LLP</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One Oxford Centre</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Thirty-Second Floor</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Pittsburgh, PA 15219</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Attention: Celia A. Soehner, Esq.; Maria L. Sasinoski, Esq.</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83"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w:t>
      </w:r>
    </w:p>
    <w:p>
      <w:pPr>
        <w:spacing w:after="0" w:line="148" w:lineRule="exact"/>
        <w:rPr>
          <w:sz w:val="20"/>
          <w:szCs w:val="20"/>
          <w:color w:val="auto"/>
        </w:rPr>
      </w:pPr>
    </w:p>
    <w:p>
      <w:pPr>
        <w:ind w:left="360" w:right="1079"/>
        <w:spacing w:after="0" w:line="263" w:lineRule="auto"/>
        <w:rPr>
          <w:sz w:val="20"/>
          <w:szCs w:val="20"/>
          <w:color w:val="auto"/>
        </w:rPr>
      </w:pPr>
      <w:r>
        <w:rPr>
          <w:rFonts w:ascii="Times New Roman" w:cs="Times New Roman" w:eastAsia="Times New Roman" w:hAnsi="Times New Roman"/>
          <w:sz w:val="14"/>
          <w:szCs w:val="14"/>
          <w:color w:val="auto"/>
        </w:rPr>
        <w:t>Any notice or communication mailed to a Securityholder shall be mailed to such Securityholder by first-class mail, postage prepaid, at such Securityholder’s address shown on the register kept by the Registrar.</w:t>
      </w:r>
    </w:p>
    <w:p>
      <w:pPr>
        <w:spacing w:after="0" w:line="136" w:lineRule="exact"/>
        <w:rPr>
          <w:sz w:val="20"/>
          <w:szCs w:val="20"/>
          <w:color w:val="auto"/>
        </w:rPr>
      </w:pPr>
    </w:p>
    <w:p>
      <w:pPr>
        <w:ind w:left="360" w:right="459"/>
        <w:spacing w:after="0" w:line="253" w:lineRule="auto"/>
        <w:rPr>
          <w:sz w:val="20"/>
          <w:szCs w:val="20"/>
          <w:color w:val="auto"/>
        </w:rPr>
      </w:pPr>
      <w:r>
        <w:rPr>
          <w:rFonts w:ascii="Times New Roman" w:cs="Times New Roman" w:eastAsia="Times New Roman" w:hAnsi="Times New Roman"/>
          <w:sz w:val="14"/>
          <w:szCs w:val="14"/>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42" w:lineRule="exact"/>
        <w:rPr>
          <w:sz w:val="20"/>
          <w:szCs w:val="20"/>
          <w:color w:val="auto"/>
        </w:rPr>
      </w:pPr>
    </w:p>
    <w:p>
      <w:pPr>
        <w:ind w:left="360" w:right="479"/>
        <w:spacing w:after="0" w:line="347" w:lineRule="auto"/>
        <w:rPr>
          <w:sz w:val="20"/>
          <w:szCs w:val="20"/>
          <w:color w:val="auto"/>
        </w:rPr>
      </w:pPr>
      <w:r>
        <w:rPr>
          <w:rFonts w:ascii="Times New Roman" w:cs="Times New Roman" w:eastAsia="Times New Roman" w:hAnsi="Times New Roman"/>
          <w:sz w:val="12"/>
          <w:szCs w:val="12"/>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89" w:lineRule="exact"/>
        <w:rPr>
          <w:sz w:val="20"/>
          <w:szCs w:val="20"/>
          <w:color w:val="auto"/>
        </w:rPr>
      </w:pPr>
    </w:p>
    <w:p>
      <w:pPr>
        <w:ind w:left="360" w:right="779"/>
        <w:spacing w:after="0" w:line="263" w:lineRule="auto"/>
        <w:rPr>
          <w:sz w:val="20"/>
          <w:szCs w:val="20"/>
          <w:color w:val="auto"/>
        </w:rPr>
      </w:pPr>
      <w:r>
        <w:rPr>
          <w:rFonts w:ascii="Times New Roman" w:cs="Times New Roman" w:eastAsia="Times New Roman" w:hAnsi="Times New Roman"/>
          <w:sz w:val="14"/>
          <w:szCs w:val="14"/>
          <w:color w:val="auto"/>
        </w:rPr>
        <w:t>In the case of Global Securities, notices or communications to be given to Securityholders shall be given to the Depository, in accordance with its applicable policies as in effect from time to time.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5" w:right="1440" w:bottom="1440" w:gutter="0" w:footer="0" w:header="0"/>
        </w:sectPr>
      </w:pPr>
    </w:p>
    <w:bookmarkStart w:id="72" w:name="page73"/>
    <w:bookmarkEnd w:id="72"/>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10.3. COMMUNICATIONS BY HOLDERS WITH OTHER HOLDERS.</w:t>
      </w:r>
    </w:p>
    <w:p>
      <w:pPr>
        <w:spacing w:after="0" w:line="87" w:lineRule="exact"/>
        <w:rPr>
          <w:sz w:val="20"/>
          <w:szCs w:val="20"/>
          <w:color w:val="auto"/>
        </w:rPr>
      </w:pPr>
    </w:p>
    <w:p>
      <w:pPr>
        <w:ind w:left="360" w:right="639"/>
        <w:spacing w:after="0" w:line="253" w:lineRule="auto"/>
        <w:rPr>
          <w:sz w:val="20"/>
          <w:szCs w:val="20"/>
          <w:color w:val="auto"/>
        </w:rPr>
      </w:pPr>
      <w:r>
        <w:rPr>
          <w:rFonts w:ascii="Times New Roman" w:cs="Times New Roman" w:eastAsia="Times New Roman" w:hAnsi="Times New Roman"/>
          <w:sz w:val="14"/>
          <w:szCs w:val="14"/>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10.4. CERTIFICATE AND OPINION AS TO CONDITIONS PRECEDENT.</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83" w:lineRule="exact"/>
        <w:rPr>
          <w:sz w:val="20"/>
          <w:szCs w:val="20"/>
          <w:color w:val="auto"/>
        </w:rPr>
      </w:pPr>
    </w:p>
    <w:p>
      <w:pPr>
        <w:ind w:left="360" w:right="519" w:hanging="8"/>
        <w:spacing w:after="0" w:line="263" w:lineRule="auto"/>
        <w:tabs>
          <w:tab w:leader="none" w:pos="55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135" w:lineRule="exact"/>
        <w:rPr>
          <w:rFonts w:ascii="Times New Roman" w:cs="Times New Roman" w:eastAsia="Times New Roman" w:hAnsi="Times New Roman"/>
          <w:sz w:val="14"/>
          <w:szCs w:val="14"/>
          <w:color w:val="auto"/>
        </w:rPr>
      </w:pPr>
    </w:p>
    <w:p>
      <w:pPr>
        <w:ind w:left="360" w:right="739" w:hanging="8"/>
        <w:spacing w:after="0" w:line="263" w:lineRule="auto"/>
        <w:tabs>
          <w:tab w:leader="none" w:pos="55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(which shall include the statements set forth in Section 10.5 below) stating that, in the opinion of such counsel, all such conditions precedent have been complied with.</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10.5. STATEMENT REQUIRED IN CERTIFICATE AND OPINION.</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Each certificate and opinion with respect to compliance with a condition or covenant provided for in this Indenture (other than pursuant to Section 4.4)</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shall include:</w:t>
      </w:r>
    </w:p>
    <w:p>
      <w:pPr>
        <w:spacing w:after="0" w:line="71" w:lineRule="exact"/>
        <w:rPr>
          <w:sz w:val="20"/>
          <w:szCs w:val="20"/>
          <w:color w:val="auto"/>
        </w:rPr>
      </w:pPr>
    </w:p>
    <w:p>
      <w:pPr>
        <w:ind w:left="540" w:hanging="188"/>
        <w:spacing w:after="0"/>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164" w:lineRule="exact"/>
        <w:rPr>
          <w:rFonts w:ascii="Times New Roman" w:cs="Times New Roman" w:eastAsia="Times New Roman" w:hAnsi="Times New Roman"/>
          <w:sz w:val="14"/>
          <w:szCs w:val="14"/>
          <w:color w:val="auto"/>
        </w:rPr>
      </w:pPr>
    </w:p>
    <w:p>
      <w:pPr>
        <w:ind w:left="360" w:right="379" w:hanging="8"/>
        <w:spacing w:after="0" w:line="263" w:lineRule="auto"/>
        <w:tabs>
          <w:tab w:leader="none" w:pos="55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35" w:lineRule="exact"/>
        <w:rPr>
          <w:rFonts w:ascii="Times New Roman" w:cs="Times New Roman" w:eastAsia="Times New Roman" w:hAnsi="Times New Roman"/>
          <w:sz w:val="14"/>
          <w:szCs w:val="14"/>
          <w:color w:val="auto"/>
        </w:rPr>
      </w:pPr>
    </w:p>
    <w:p>
      <w:pPr>
        <w:ind w:left="360" w:right="499" w:hanging="8"/>
        <w:spacing w:after="0" w:line="263" w:lineRule="auto"/>
        <w:tabs>
          <w:tab w:leader="none" w:pos="55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35" w:lineRule="exact"/>
        <w:rPr>
          <w:rFonts w:ascii="Times New Roman" w:cs="Times New Roman" w:eastAsia="Times New Roman" w:hAnsi="Times New Roman"/>
          <w:sz w:val="14"/>
          <w:szCs w:val="14"/>
          <w:color w:val="auto"/>
        </w:rPr>
      </w:pPr>
    </w:p>
    <w:p>
      <w:pPr>
        <w:ind w:left="540" w:hanging="188"/>
        <w:spacing w:after="0"/>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covenant or condition has been complied with.</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10.6. RULES BY TRUSTEE AND AGENTS.</w:t>
      </w:r>
    </w:p>
    <w:p>
      <w:pPr>
        <w:spacing w:after="0" w:line="87" w:lineRule="exact"/>
        <w:rPr>
          <w:sz w:val="20"/>
          <w:szCs w:val="20"/>
          <w:color w:val="auto"/>
        </w:rPr>
      </w:pPr>
    </w:p>
    <w:p>
      <w:pPr>
        <w:ind w:left="360" w:right="439"/>
        <w:spacing w:after="0" w:line="263" w:lineRule="auto"/>
        <w:rPr>
          <w:sz w:val="20"/>
          <w:szCs w:val="20"/>
          <w:color w:val="auto"/>
        </w:rPr>
      </w:pPr>
      <w:r>
        <w:rPr>
          <w:rFonts w:ascii="Times New Roman" w:cs="Times New Roman" w:eastAsia="Times New Roman" w:hAnsi="Times New Roman"/>
          <w:sz w:val="14"/>
          <w:szCs w:val="14"/>
          <w:color w:val="auto"/>
        </w:rPr>
        <w:t>The Trustee may make reasonable rules for action by or at meetings of Securityholders. The Registrar and Paying Agent may make reasonable rules for their functions.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10.7. BUSINESS DAYS; LEGAL HOLIDAYS; PLACE OF PAYMENT.</w:t>
      </w:r>
    </w:p>
    <w:p>
      <w:pPr>
        <w:spacing w:after="0" w:line="87" w:lineRule="exact"/>
        <w:rPr>
          <w:sz w:val="20"/>
          <w:szCs w:val="20"/>
          <w:color w:val="auto"/>
        </w:rPr>
      </w:pPr>
    </w:p>
    <w:p>
      <w:pPr>
        <w:ind w:left="360" w:right="639"/>
        <w:spacing w:after="0" w:line="263" w:lineRule="auto"/>
        <w:rPr>
          <w:sz w:val="20"/>
          <w:szCs w:val="20"/>
          <w:color w:val="auto"/>
        </w:rPr>
      </w:pPr>
      <w:r>
        <w:rPr>
          <w:rFonts w:ascii="Times New Roman" w:cs="Times New Roman" w:eastAsia="Times New Roman" w:hAnsi="Times New Roman"/>
          <w:sz w:val="14"/>
          <w:szCs w:val="14"/>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w:t>
      </w:r>
    </w:p>
    <w:p>
      <w:pPr>
        <w:spacing w:after="0" w:line="136" w:lineRule="exact"/>
        <w:rPr>
          <w:sz w:val="20"/>
          <w:szCs w:val="20"/>
          <w:color w:val="auto"/>
        </w:rPr>
      </w:pPr>
    </w:p>
    <w:p>
      <w:pPr>
        <w:ind w:left="360" w:right="379"/>
        <w:spacing w:after="0" w:line="249" w:lineRule="auto"/>
        <w:rPr>
          <w:sz w:val="20"/>
          <w:szCs w:val="20"/>
          <w:color w:val="auto"/>
        </w:rPr>
      </w:pPr>
      <w:r>
        <w:rPr>
          <w:rFonts w:ascii="Times New Roman" w:cs="Times New Roman" w:eastAsia="Times New Roman" w:hAnsi="Times New Roman"/>
          <w:sz w:val="14"/>
          <w:szCs w:val="14"/>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5" w:right="1440" w:bottom="1440" w:gutter="0" w:footer="0" w:header="0"/>
        </w:sectPr>
      </w:pPr>
    </w:p>
    <w:bookmarkStart w:id="73" w:name="page74"/>
    <w:bookmarkEnd w:id="73"/>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10.8. GOVERNING LAW.</w:t>
      </w:r>
    </w:p>
    <w:p>
      <w:pPr>
        <w:spacing w:after="0" w:line="83" w:lineRule="exact"/>
        <w:rPr>
          <w:sz w:val="20"/>
          <w:szCs w:val="20"/>
          <w:color w:val="auto"/>
        </w:rPr>
      </w:pPr>
    </w:p>
    <w:p>
      <w:pPr>
        <w:ind w:left="360" w:right="459"/>
        <w:spacing w:after="0" w:line="256" w:lineRule="auto"/>
        <w:rPr>
          <w:sz w:val="20"/>
          <w:szCs w:val="20"/>
          <w:color w:val="auto"/>
        </w:rPr>
      </w:pPr>
      <w:r>
        <w:rPr>
          <w:rFonts w:ascii="Times New Roman" w:cs="Times New Roman" w:eastAsia="Times New Roman" w:hAnsi="Times New Roman"/>
          <w:sz w:val="14"/>
          <w:szCs w:val="14"/>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10.9. NO ADVERSE INTERPRETATION OF OTHER AGREEMENTS.</w:t>
      </w:r>
    </w:p>
    <w:p>
      <w:pPr>
        <w:spacing w:after="0" w:line="87" w:lineRule="exact"/>
        <w:rPr>
          <w:sz w:val="20"/>
          <w:szCs w:val="20"/>
          <w:color w:val="auto"/>
        </w:rPr>
      </w:pPr>
    </w:p>
    <w:p>
      <w:pPr>
        <w:ind w:left="360" w:right="699"/>
        <w:spacing w:after="0" w:line="263"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10.10. NO RECOURSE AGAINST OTHERS.</w:t>
      </w:r>
    </w:p>
    <w:p>
      <w:pPr>
        <w:spacing w:after="0" w:line="87" w:lineRule="exact"/>
        <w:rPr>
          <w:sz w:val="20"/>
          <w:szCs w:val="20"/>
          <w:color w:val="auto"/>
        </w:rPr>
      </w:pPr>
    </w:p>
    <w:p>
      <w:pPr>
        <w:jc w:val="both"/>
        <w:ind w:left="360" w:right="379"/>
        <w:spacing w:after="0" w:line="253" w:lineRule="auto"/>
        <w:rPr>
          <w:sz w:val="20"/>
          <w:szCs w:val="20"/>
          <w:color w:val="auto"/>
        </w:rPr>
      </w:pPr>
      <w:r>
        <w:rPr>
          <w:rFonts w:ascii="Times New Roman" w:cs="Times New Roman" w:eastAsia="Times New Roman" w:hAnsi="Times New Roman"/>
          <w:sz w:val="14"/>
          <w:szCs w:val="14"/>
          <w:color w:val="auto"/>
        </w:rPr>
        <w:t>A director, officer, employee, shareholder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10.11. SUCCESSORS.</w:t>
      </w:r>
    </w:p>
    <w:p>
      <w:pPr>
        <w:spacing w:after="0" w:line="87" w:lineRule="exact"/>
        <w:rPr>
          <w:sz w:val="20"/>
          <w:szCs w:val="20"/>
          <w:color w:val="auto"/>
        </w:rPr>
      </w:pPr>
    </w:p>
    <w:p>
      <w:pPr>
        <w:ind w:left="360" w:right="399"/>
        <w:spacing w:after="0" w:line="253" w:lineRule="auto"/>
        <w:rPr>
          <w:sz w:val="20"/>
          <w:szCs w:val="20"/>
          <w:color w:val="auto"/>
        </w:rPr>
      </w:pPr>
      <w:r>
        <w:rPr>
          <w:rFonts w:ascii="Times New Roman" w:cs="Times New Roman" w:eastAsia="Times New Roman" w:hAnsi="Times New Roman"/>
          <w:sz w:val="14"/>
          <w:szCs w:val="14"/>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10.12. MULTIPLE COUNTERPARTS.</w:t>
      </w:r>
    </w:p>
    <w:p>
      <w:pPr>
        <w:spacing w:after="0" w:line="87" w:lineRule="exact"/>
        <w:rPr>
          <w:sz w:val="20"/>
          <w:szCs w:val="20"/>
          <w:color w:val="auto"/>
        </w:rPr>
      </w:pPr>
    </w:p>
    <w:p>
      <w:pPr>
        <w:ind w:left="360" w:right="399"/>
        <w:spacing w:after="0" w:line="263" w:lineRule="auto"/>
        <w:rPr>
          <w:sz w:val="20"/>
          <w:szCs w:val="20"/>
          <w:color w:val="auto"/>
        </w:rPr>
      </w:pPr>
      <w:r>
        <w:rPr>
          <w:rFonts w:ascii="Times New Roman" w:cs="Times New Roman" w:eastAsia="Times New Roman" w:hAnsi="Times New Roman"/>
          <w:sz w:val="14"/>
          <w:szCs w:val="14"/>
          <w:color w:val="auto"/>
        </w:rPr>
        <w:t>The parties may sign multiple counterparts of this Indenture. Each signed counterpart shall be deemed an original, but all of them together represent one and the same agreement.</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10.13. TABLE OF CONTENTS, HEADINGS, ETC.</w:t>
      </w:r>
    </w:p>
    <w:p>
      <w:pPr>
        <w:spacing w:after="0" w:line="87" w:lineRule="exact"/>
        <w:rPr>
          <w:sz w:val="20"/>
          <w:szCs w:val="20"/>
          <w:color w:val="auto"/>
        </w:rPr>
      </w:pPr>
    </w:p>
    <w:p>
      <w:pPr>
        <w:jc w:val="both"/>
        <w:ind w:left="360" w:right="479"/>
        <w:spacing w:after="0" w:line="263" w:lineRule="auto"/>
        <w:rPr>
          <w:sz w:val="20"/>
          <w:szCs w:val="20"/>
          <w:color w:val="auto"/>
        </w:rPr>
      </w:pPr>
      <w:r>
        <w:rPr>
          <w:rFonts w:ascii="Times New Roman" w:cs="Times New Roman" w:eastAsia="Times New Roman" w:hAnsi="Times New Roman"/>
          <w:sz w:val="14"/>
          <w:szCs w:val="14"/>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10.14. SEVERABILITY.</w:t>
      </w:r>
    </w:p>
    <w:p>
      <w:pPr>
        <w:spacing w:after="0" w:line="87" w:lineRule="exact"/>
        <w:rPr>
          <w:sz w:val="20"/>
          <w:szCs w:val="20"/>
          <w:color w:val="auto"/>
        </w:rPr>
      </w:pPr>
    </w:p>
    <w:p>
      <w:pPr>
        <w:jc w:val="both"/>
        <w:ind w:left="360" w:right="459"/>
        <w:spacing w:after="0" w:line="253" w:lineRule="auto"/>
        <w:rPr>
          <w:sz w:val="20"/>
          <w:szCs w:val="20"/>
          <w:color w:val="auto"/>
        </w:rPr>
      </w:pPr>
      <w:r>
        <w:rPr>
          <w:rFonts w:ascii="Times New Roman" w:cs="Times New Roman" w:eastAsia="Times New Roman" w:hAnsi="Times New Roman"/>
          <w:sz w:val="14"/>
          <w:szCs w:val="14"/>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10.15. SECURITIES IN A FOREIGN CURRENCY OR IN EUROS.</w:t>
      </w:r>
    </w:p>
    <w:p>
      <w:pPr>
        <w:spacing w:after="0" w:line="87" w:lineRule="exact"/>
        <w:rPr>
          <w:sz w:val="20"/>
          <w:szCs w:val="20"/>
          <w:color w:val="auto"/>
        </w:rPr>
      </w:pPr>
    </w:p>
    <w:p>
      <w:pPr>
        <w:ind w:left="360" w:right="479"/>
        <w:spacing w:after="0" w:line="245"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5" w:right="1440" w:bottom="1440" w:gutter="0" w:footer="0" w:header="0"/>
        </w:sectPr>
      </w:pPr>
    </w:p>
    <w:bookmarkStart w:id="74" w:name="page75"/>
    <w:bookmarkEnd w:id="74"/>
    <w:p>
      <w:pPr>
        <w:ind w:left="360" w:right="35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51" w:lineRule="exact"/>
        <w:rPr>
          <w:sz w:val="20"/>
          <w:szCs w:val="20"/>
          <w:color w:val="auto"/>
        </w:rPr>
      </w:pPr>
    </w:p>
    <w:p>
      <w:pPr>
        <w:ind w:left="360" w:right="679"/>
        <w:spacing w:after="0" w:line="253" w:lineRule="auto"/>
        <w:rPr>
          <w:sz w:val="20"/>
          <w:szCs w:val="20"/>
          <w:color w:val="auto"/>
        </w:rPr>
      </w:pPr>
      <w:r>
        <w:rPr>
          <w:rFonts w:ascii="Times New Roman" w:cs="Times New Roman" w:eastAsia="Times New Roman" w:hAnsi="Times New Roman"/>
          <w:sz w:val="14"/>
          <w:szCs w:val="14"/>
          <w:color w:val="auto"/>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10.16. JUDGMENT CURRENCY.</w:t>
      </w:r>
    </w:p>
    <w:p>
      <w:pPr>
        <w:spacing w:after="0" w:line="87" w:lineRule="exact"/>
        <w:rPr>
          <w:sz w:val="20"/>
          <w:szCs w:val="20"/>
          <w:color w:val="auto"/>
        </w:rPr>
      </w:pPr>
    </w:p>
    <w:p>
      <w:pPr>
        <w:ind w:left="360" w:right="379"/>
        <w:spacing w:after="0" w:line="244"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[REMAINDER OF THIS PAGE INTENTIONALLY LEFT BLANK]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75" w:name="page76"/>
    <w:bookmarkEnd w:id="75"/>
    <w:p>
      <w:pPr>
        <w:ind w:left="360" w:right="4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204710" cy="32385"/>
                    </a:xfrm>
                    <a:prstGeom prst="rect">
                      <a:avLst/>
                    </a:prstGeom>
                    <a:noFill/>
                  </pic:spPr>
                </pic:pic>
              </a:graphicData>
            </a:graphic>
          </wp:anchor>
        </w:drawing>
        <w:t>IN WITNESS WHEREOF, the parties hereto have caused this Indenture to be duly executed, and their respective corporate seals to be hereunto affixed and attested, all as of the day and year first above written.</w:t>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L.B. FOSTER COMPANY</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-100965</wp:posOffset>
            </wp:positionV>
            <wp:extent cx="195770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957705"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Name of Trustee</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-100965</wp:posOffset>
            </wp:positionV>
            <wp:extent cx="19577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1957705"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-100965</wp:posOffset>
            </wp:positionV>
            <wp:extent cx="195770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957705"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76" w:name="page77"/>
    <w:bookmarkEnd w:id="76"/>
    <w:p>
      <w:pPr>
        <w:jc w:val="right"/>
        <w:ind w:right="359"/>
        <w:spacing w:after="0"/>
        <w:rPr>
          <w:sz w:val="20"/>
          <w:szCs w:val="20"/>
          <w:color w:val="auto"/>
        </w:rPr>
      </w:pPr>
      <w:r>
        <w:rPr>
          <w:rFonts w:ascii="Times New Roman" w:cs="Times New Roman" w:eastAsia="Times New Roman" w:hAnsi="Times New Roman"/>
          <w:sz w:val="14"/>
          <w:szCs w:val="14"/>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125730</wp:posOffset>
            </wp:positionV>
            <wp:extent cx="1383030" cy="2324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1383030" cy="23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415 Holiday Drive, Suite 100</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Pittsburgh, PA 15220</w:t>
      </w:r>
    </w:p>
    <w:p>
      <w:pPr>
        <w:spacing w:after="0" w:line="173"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2"/>
          <w:szCs w:val="12"/>
          <w:color w:val="auto"/>
        </w:rPr>
        <w:t>L.B. Foster Company – Registration Statement on Form S-3 Filed on November 4, 2026</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3" w:lineRule="exact"/>
        <w:rPr>
          <w:sz w:val="20"/>
          <w:szCs w:val="20"/>
          <w:color w:val="auto"/>
        </w:rPr>
      </w:pPr>
    </w:p>
    <w:p>
      <w:pPr>
        <w:ind w:left="360" w:right="459"/>
        <w:spacing w:after="0" w:line="299" w:lineRule="auto"/>
        <w:rPr>
          <w:sz w:val="20"/>
          <w:szCs w:val="20"/>
          <w:color w:val="auto"/>
        </w:rPr>
      </w:pPr>
      <w:r>
        <w:rPr>
          <w:rFonts w:ascii="Times New Roman" w:cs="Times New Roman" w:eastAsia="Times New Roman" w:hAnsi="Times New Roman"/>
          <w:sz w:val="12"/>
          <w:szCs w:val="12"/>
          <w:color w:val="auto"/>
        </w:rPr>
        <w:t>We have acted as counsel to L.B. Foster Company, a Pennsylvania corporation (the “Company”), in connection with its filing of the referenced Registration Statement (the “Registration Statement”) under the Securities Act of 1933, as amended (the “Act”), with the Securities and Exchange Commission (the “Commission”). The Registration Statement relates to the proposed offer and sale, from time to time, of Securities (as defined below) of the Company of up to a total dollar amount of $180,000,000 as set forth in the prospectus contained in the Registration Statement (the “Prospectus”) and as shall be set forth in one or more supplements to the Prospectus (each, a “Prospectus Supplement”), which Securities may include:</w:t>
      </w:r>
    </w:p>
    <w:p>
      <w:pPr>
        <w:spacing w:after="0" w:line="46" w:lineRule="exact"/>
        <w:rPr>
          <w:sz w:val="20"/>
          <w:szCs w:val="20"/>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par value $0.01 per share, of the Company (the “Common Stock”);</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one or more series of preferred stock of the Company (the “Preferred Stock”);</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series of the Company’s debt securities (the “Debt Securities”);</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and/or Debt Securities (the “Warrants”);</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Common Stock, Preferred Stock and/or Debt Securities (the “Subscription Rights”);</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such foregoing securities described in (i) through (v) above (the “Units”); and/or</w:t>
      </w:r>
    </w:p>
    <w:p>
      <w:pPr>
        <w:spacing w:after="0" w:line="93" w:lineRule="exact"/>
        <w:rPr>
          <w:rFonts w:ascii="Times New Roman" w:cs="Times New Roman" w:eastAsia="Times New Roman" w:hAnsi="Times New Roman"/>
          <w:sz w:val="14"/>
          <w:szCs w:val="14"/>
          <w:color w:val="auto"/>
        </w:rPr>
      </w:pPr>
    </w:p>
    <w:p>
      <w:pPr>
        <w:ind w:left="1080" w:hanging="402"/>
        <w:spacing w:after="0"/>
        <w:tabs>
          <w:tab w:leader="none" w:pos="10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securities described in (i) - (vi).</w:t>
      </w:r>
    </w:p>
    <w:p>
      <w:pPr>
        <w:spacing w:after="0" w:line="165" w:lineRule="exact"/>
        <w:rPr>
          <w:sz w:val="20"/>
          <w:szCs w:val="20"/>
          <w:color w:val="auto"/>
        </w:rPr>
      </w:pPr>
    </w:p>
    <w:p>
      <w:pPr>
        <w:ind w:left="360" w:right="379"/>
        <w:spacing w:after="0" w:line="263" w:lineRule="auto"/>
        <w:rPr>
          <w:sz w:val="20"/>
          <w:szCs w:val="20"/>
          <w:color w:val="auto"/>
        </w:rPr>
      </w:pPr>
      <w:r>
        <w:rPr>
          <w:rFonts w:ascii="Times New Roman" w:cs="Times New Roman" w:eastAsia="Times New Roman" w:hAnsi="Times New Roman"/>
          <w:sz w:val="14"/>
          <w:szCs w:val="14"/>
          <w:color w:val="auto"/>
        </w:rPr>
        <w:t>The Common Stock, Preferred Stock, Debt Securities, Warrants, Subscription Rights, and Units of the Company are referred to collectively herein as the “Securities.”</w:t>
      </w:r>
    </w:p>
    <w:p>
      <w:pPr>
        <w:spacing w:after="0" w:line="136" w:lineRule="exact"/>
        <w:rPr>
          <w:sz w:val="20"/>
          <w:szCs w:val="20"/>
          <w:color w:val="auto"/>
        </w:rPr>
      </w:pPr>
    </w:p>
    <w:p>
      <w:pPr>
        <w:ind w:left="360" w:right="499"/>
        <w:spacing w:after="0" w:line="253" w:lineRule="auto"/>
        <w:rPr>
          <w:sz w:val="20"/>
          <w:szCs w:val="20"/>
          <w:color w:val="auto"/>
        </w:rPr>
      </w:pPr>
      <w:r>
        <w:rPr>
          <w:rFonts w:ascii="Times New Roman" w:cs="Times New Roman" w:eastAsia="Times New Roman" w:hAnsi="Times New Roman"/>
          <w:sz w:val="14"/>
          <w:szCs w:val="14"/>
          <w:color w:val="auto"/>
        </w:rPr>
        <w:t>This opinion letter is furnished in accordance with the requirements of Item 601(b)(5) of Regulation S-K under the Act, and no opinion is expressed herein as to any matter pertaining to the contents of the Registration Statement or related applicable prospectuses, other than as expressly stated herein with respect to the issuance of the Securities.</w:t>
      </w:r>
    </w:p>
    <w:p>
      <w:pPr>
        <w:spacing w:after="0" w:line="270" w:lineRule="exact"/>
        <w:rPr>
          <w:sz w:val="20"/>
          <w:szCs w:val="20"/>
          <w:color w:val="auto"/>
        </w:rPr>
      </w:pPr>
    </w:p>
    <w:tbl>
      <w:tblPr>
        <w:tblLayout w:type="fixed"/>
        <w:tblInd w:w="5100" w:type="dxa"/>
        <w:tblCellMar>
          <w:top w:w="0" w:type="dxa"/>
          <w:left w:w="0" w:type="dxa"/>
          <w:bottom w:w="0" w:type="dxa"/>
          <w:right w:w="0" w:type="dxa"/>
        </w:tblCellMar>
      </w:tblPr>
      <w:tr>
        <w:trPr>
          <w:trHeight w:val="179"/>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Morgan, Lewis &amp; Bockius </w:t>
            </w:r>
            <w:r>
              <w:rPr>
                <w:rFonts w:ascii="Times New Roman" w:cs="Times New Roman" w:eastAsia="Times New Roman" w:hAnsi="Times New Roman"/>
                <w:sz w:val="11"/>
                <w:szCs w:val="11"/>
                <w:b w:val="1"/>
                <w:bCs w:val="1"/>
                <w:color w:val="auto"/>
              </w:rPr>
              <w:t>LLP</w:t>
            </w:r>
          </w:p>
        </w:tc>
        <w:tc>
          <w:tcPr>
            <w:tcW w:w="1240" w:type="dxa"/>
            <w:vAlign w:val="bottom"/>
          </w:tcPr>
          <w:p>
            <w:pPr>
              <w:spacing w:after="0"/>
              <w:rPr>
                <w:sz w:val="15"/>
                <w:szCs w:val="15"/>
                <w:color w:val="auto"/>
              </w:rPr>
            </w:pPr>
          </w:p>
        </w:tc>
      </w:tr>
      <w:tr>
        <w:trPr>
          <w:trHeight w:val="33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One Oxford Centre</w:t>
            </w:r>
          </w:p>
        </w:tc>
        <w:tc>
          <w:tcPr>
            <w:tcW w:w="1240" w:type="dxa"/>
            <w:vAlign w:val="bottom"/>
          </w:tcPr>
          <w:p>
            <w:pPr>
              <w:spacing w:after="0"/>
              <w:rPr>
                <w:sz w:val="24"/>
                <w:szCs w:val="24"/>
                <w:color w:val="auto"/>
              </w:rPr>
            </w:pPr>
          </w:p>
        </w:tc>
      </w:tr>
      <w:tr>
        <w:trPr>
          <w:trHeight w:val="17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Thirty-Second Floor</w:t>
            </w:r>
          </w:p>
        </w:tc>
        <w:tc>
          <w:tcPr>
            <w:tcW w:w="1240" w:type="dxa"/>
            <w:vAlign w:val="bottom"/>
          </w:tcPr>
          <w:p>
            <w:pPr>
              <w:spacing w:after="0"/>
              <w:rPr>
                <w:sz w:val="15"/>
                <w:szCs w:val="15"/>
                <w:color w:val="auto"/>
              </w:rPr>
            </w:pPr>
          </w:p>
        </w:tc>
      </w:tr>
      <w:tr>
        <w:trPr>
          <w:trHeight w:val="16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Pittsburgh, PA 15219-6401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+1.412.560.3300</w:t>
            </w:r>
          </w:p>
        </w:tc>
      </w:tr>
      <w:tr>
        <w:trPr>
          <w:trHeight w:val="175"/>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+1.412.560.7001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-205740</wp:posOffset>
            </wp:positionV>
            <wp:extent cx="77470"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-102235</wp:posOffset>
            </wp:positionV>
            <wp:extent cx="77470"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7" w:name="page78"/>
    <w:bookmarkEnd w:id="77"/>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2</w:t>
      </w:r>
    </w:p>
    <w:p>
      <w:pPr>
        <w:spacing w:after="0" w:line="173" w:lineRule="exact"/>
        <w:rPr>
          <w:sz w:val="20"/>
          <w:szCs w:val="20"/>
          <w:color w:val="auto"/>
        </w:rPr>
      </w:pPr>
    </w:p>
    <w:p>
      <w:pPr>
        <w:ind w:left="360" w:right="479"/>
        <w:spacing w:after="0" w:line="249" w:lineRule="auto"/>
        <w:rPr>
          <w:sz w:val="20"/>
          <w:szCs w:val="20"/>
          <w:color w:val="auto"/>
        </w:rPr>
      </w:pPr>
      <w:r>
        <w:rPr>
          <w:rFonts w:ascii="Times New Roman" w:cs="Times New Roman" w:eastAsia="Times New Roman" w:hAnsi="Times New Roman"/>
          <w:sz w:val="14"/>
          <w:szCs w:val="14"/>
          <w:color w:val="auto"/>
        </w:rPr>
        <w:t>In connection with this opinion letter, we have examined the Registration Statement and originals or copies, certified or otherwise identified to our satisfaction, of: (i) the Articles of Incorporation of the Company (the “Articles”), (ii) the Amended and Restated Bylaws of the Company (the “Bylaws”), (iii) certain resolutions of the Company’s Board of Directors relating to the Registration Statement, and (iv) such other documents, records, and other instruments as we have deemed appropriate for purposes of the opinions set forth herein.</w:t>
      </w:r>
    </w:p>
    <w:p>
      <w:pPr>
        <w:spacing w:after="0" w:line="146"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the purposes of the opinions set forth below, we have also assumed, without independent investigation or verification, that:</w:t>
      </w:r>
    </w:p>
    <w:p>
      <w:pPr>
        <w:spacing w:after="0" w:line="93" w:lineRule="exact"/>
        <w:rPr>
          <w:sz w:val="20"/>
          <w:szCs w:val="20"/>
          <w:color w:val="auto"/>
        </w:rPr>
      </w:pPr>
    </w:p>
    <w:p>
      <w:pPr>
        <w:ind w:left="680" w:right="459" w:hanging="328"/>
        <w:spacing w:after="0" w:line="253" w:lineRule="auto"/>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sale, number, or amount, as the case may be, and terms of Securities to be offered from time to time will be duly authorized and established in accordance with the Articles, the Bylaws, and applicable Pennsylvania law (each, a “Corporate Action”), and will not conflict with or constitute a breach of the terms of any agreement or instrument to which the Company is subject;</w:t>
      </w:r>
    </w:p>
    <w:p>
      <w:pPr>
        <w:spacing w:after="0" w:line="70" w:lineRule="exact"/>
        <w:rPr>
          <w:rFonts w:ascii="Times New Roman" w:cs="Times New Roman" w:eastAsia="Times New Roman" w:hAnsi="Times New Roman"/>
          <w:sz w:val="14"/>
          <w:szCs w:val="14"/>
          <w:color w:val="auto"/>
        </w:rPr>
      </w:pPr>
    </w:p>
    <w:p>
      <w:pPr>
        <w:ind w:left="680" w:right="459" w:hanging="328"/>
        <w:spacing w:after="0" w:line="249" w:lineRule="auto"/>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issuance and sale of shares of Common Stock, a sufficient number of shares of Common Stock will be authorized and available for issuance and that the consideration for the issuance and sale of the Common Stock (or Preferred Stock convertible into Common Stock, Warrants exercisable for Common Stock or Rights to purchase Common Stock) will be in an amount that is not less than the par value of the Common Stock;</w:t>
      </w:r>
    </w:p>
    <w:p>
      <w:pPr>
        <w:spacing w:after="0" w:line="74" w:lineRule="exact"/>
        <w:rPr>
          <w:rFonts w:ascii="Times New Roman" w:cs="Times New Roman" w:eastAsia="Times New Roman" w:hAnsi="Times New Roman"/>
          <w:sz w:val="14"/>
          <w:szCs w:val="14"/>
          <w:color w:val="auto"/>
        </w:rPr>
      </w:pPr>
    </w:p>
    <w:p>
      <w:pPr>
        <w:ind w:left="680" w:right="399" w:hanging="328"/>
        <w:spacing w:after="0" w:line="247" w:lineRule="auto"/>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issuance of shares of one or more series of Preferred Stock, an appropriate certificate of designation relating to each such series of Preferred Stock will have been duly authorized by Corporate Action and filed with the Secretary of the Commonwealth of Pennsylvania and at the time of issuance and sale, a sufficient number of shares of Preferred Stock will be authorized, designated and available for issuance and that the consideration for the issuance and sale of the Preferred Stock (or Warrants exercisable for Preferred Stock or Rights to purchase Preferred Stock) will be in an amount that is not less than the par value of the Preferred Stock;</w:t>
      </w:r>
    </w:p>
    <w:p>
      <w:pPr>
        <w:spacing w:after="0" w:line="77" w:lineRule="exact"/>
        <w:rPr>
          <w:rFonts w:ascii="Times New Roman" w:cs="Times New Roman" w:eastAsia="Times New Roman" w:hAnsi="Times New Roman"/>
          <w:sz w:val="14"/>
          <w:szCs w:val="14"/>
          <w:color w:val="auto"/>
        </w:rPr>
      </w:pPr>
    </w:p>
    <w:p>
      <w:pPr>
        <w:ind w:left="680" w:right="579" w:hanging="328"/>
        <w:spacing w:after="0" w:line="249" w:lineRule="auto"/>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series of Debt Securities will be issued under a form of indenture and any necessary amendment or supplement thereto (collectively, the “Indenture”) between the Company and a financial institution to be identified therein as trustee (the “Trustee”), and the execution, delivery and performance of the Indenture will be duly authorized by Corporate Action, and will not conflict with or constitute a breach of the terms of any agreement or instrument to which the Company is subject;</w:t>
      </w:r>
    </w:p>
    <w:p>
      <w:pPr>
        <w:spacing w:after="0" w:line="74" w:lineRule="exact"/>
        <w:rPr>
          <w:rFonts w:ascii="Times New Roman" w:cs="Times New Roman" w:eastAsia="Times New Roman" w:hAnsi="Times New Roman"/>
          <w:sz w:val="14"/>
          <w:szCs w:val="14"/>
          <w:color w:val="auto"/>
        </w:rPr>
      </w:pPr>
    </w:p>
    <w:p>
      <w:pPr>
        <w:ind w:left="680" w:right="539" w:hanging="328"/>
        <w:spacing w:after="0" w:line="249" w:lineRule="auto"/>
        <w:tabs>
          <w:tab w:leader="none" w:pos="6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obligations of the Company under the Indenture may depend upon such matters: (i) the Trustee will be (A) duly organized, validly existing, and in good standing under the laws of its jurisdiction of organization and (B) duly qualified to engage in the activities contemplated by the Indenture; (ii) the Indenture will have been duly authorized, executed, and delivered by the Trustee and will constitute the legal, valid, and binding</w:t>
      </w:r>
    </w:p>
    <w:p>
      <w:pPr>
        <w:sectPr>
          <w:pgSz w:w="11900" w:h="16838" w:orient="portrait"/>
          <w:cols w:equalWidth="0" w:num="1">
            <w:col w:w="9019"/>
          </w:cols>
          <w:pgMar w:left="1440" w:top="239" w:right="1440" w:bottom="1440" w:gutter="0" w:footer="0" w:header="0"/>
        </w:sectPr>
      </w:pPr>
    </w:p>
    <w:bookmarkStart w:id="78" w:name="page79"/>
    <w:bookmarkEnd w:id="78"/>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3</w:t>
      </w:r>
    </w:p>
    <w:p>
      <w:pPr>
        <w:spacing w:after="0" w:line="173" w:lineRule="exact"/>
        <w:rPr>
          <w:sz w:val="20"/>
          <w:szCs w:val="20"/>
          <w:color w:val="auto"/>
        </w:rPr>
      </w:pPr>
    </w:p>
    <w:p>
      <w:pPr>
        <w:ind w:left="680" w:right="599"/>
        <w:spacing w:after="0" w:line="253" w:lineRule="auto"/>
        <w:rPr>
          <w:sz w:val="20"/>
          <w:szCs w:val="20"/>
          <w:color w:val="auto"/>
        </w:rPr>
      </w:pPr>
      <w:r>
        <w:rPr>
          <w:rFonts w:ascii="Times New Roman" w:cs="Times New Roman" w:eastAsia="Times New Roman" w:hAnsi="Times New Roman"/>
          <w:sz w:val="14"/>
          <w:szCs w:val="14"/>
          <w:color w:val="auto"/>
        </w:rPr>
        <w:t>obligations of the Trustee, enforceable against the Trustee in accordance with their respective terms; (iii) the Trustee will be in compliance, generally and with respect to acting as a trustee under the Indenture, with all applicable laws and regulations; and (iv) the Trustee will have the requisite organizational and legal power and authority to perform its obligations under the Indenture;</w:t>
      </w:r>
    </w:p>
    <w:p>
      <w:pPr>
        <w:spacing w:after="0" w:line="71" w:lineRule="exact"/>
        <w:rPr>
          <w:sz w:val="20"/>
          <w:szCs w:val="20"/>
          <w:color w:val="auto"/>
        </w:rPr>
      </w:pPr>
    </w:p>
    <w:p>
      <w:pPr>
        <w:ind w:left="680" w:right="519" w:hanging="328"/>
        <w:spacing w:after="0" w:line="249"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Warrants will be issued under one or more warrant agreements (each, a “Warrant Agreement”) between the Company and the financial institution identified in the Warrant Agreement as a warrant agent (each, a “Warrant Agent”)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74" w:lineRule="exact"/>
        <w:rPr>
          <w:rFonts w:ascii="Times New Roman" w:cs="Times New Roman" w:eastAsia="Times New Roman" w:hAnsi="Times New Roman"/>
          <w:sz w:val="14"/>
          <w:szCs w:val="14"/>
          <w:color w:val="auto"/>
        </w:rPr>
      </w:pPr>
    </w:p>
    <w:p>
      <w:pPr>
        <w:ind w:left="680" w:right="599" w:hanging="328"/>
        <w:spacing w:after="0" w:line="263"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Warrants offered under the Registration Statement and the related Warrant Agreement, as applicable, will be executed in the forms filed as exhibits to the Registration Statement or incorporated by reference therein</w:t>
      </w:r>
    </w:p>
    <w:p>
      <w:pPr>
        <w:spacing w:after="0" w:line="64" w:lineRule="exact"/>
        <w:rPr>
          <w:rFonts w:ascii="Times New Roman" w:cs="Times New Roman" w:eastAsia="Times New Roman" w:hAnsi="Times New Roman"/>
          <w:sz w:val="14"/>
          <w:szCs w:val="14"/>
          <w:color w:val="auto"/>
        </w:rPr>
      </w:pPr>
    </w:p>
    <w:p>
      <w:pPr>
        <w:ind w:left="680" w:right="399" w:hanging="328"/>
        <w:spacing w:after="0" w:line="246"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will have been duly authorized, executed and delivered by such party and will constitute the legal, valid and binding obligation of such party, enforceable against such party in accordance with its terms; that such party will be in compliance, generally and with respect to acting as a party with respect to its obligations under such Warrant Agreement, with all applicable laws and regulations, and that such party will have the requisite organizational and legal power and authority to perform its obligations under such Warrant Agreement;</w:t>
      </w:r>
    </w:p>
    <w:p>
      <w:pPr>
        <w:spacing w:after="0" w:line="76" w:lineRule="exact"/>
        <w:rPr>
          <w:rFonts w:ascii="Times New Roman" w:cs="Times New Roman" w:eastAsia="Times New Roman" w:hAnsi="Times New Roman"/>
          <w:sz w:val="14"/>
          <w:szCs w:val="14"/>
          <w:color w:val="auto"/>
        </w:rPr>
      </w:pPr>
    </w:p>
    <w:p>
      <w:pPr>
        <w:ind w:left="680" w:right="379" w:hanging="328"/>
        <w:spacing w:after="0" w:line="253"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Units will be issued pursuant to purchase or similar agreements to be entered into by the Company and the parties thereto (each, a “Unit Agreement”) and the execution, delivery and performance of the applicable Unit Agreement will be duly authorized by Corporate Action, and will not conflict with or constitute a breach of the terms of any agreement or instrument to which the Company is subject;</w:t>
      </w:r>
    </w:p>
    <w:p>
      <w:pPr>
        <w:spacing w:after="0" w:line="70" w:lineRule="exact"/>
        <w:rPr>
          <w:rFonts w:ascii="Times New Roman" w:cs="Times New Roman" w:eastAsia="Times New Roman" w:hAnsi="Times New Roman"/>
          <w:sz w:val="14"/>
          <w:szCs w:val="14"/>
          <w:color w:val="auto"/>
        </w:rPr>
      </w:pPr>
    </w:p>
    <w:p>
      <w:pPr>
        <w:ind w:left="680" w:right="359" w:hanging="328"/>
        <w:spacing w:after="0" w:line="246"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will have been duly authorized, executed and delivered by such party and will constitute the legal, valid and binding obligation of such party, enforceable against such party in accordance with its terms; that such party will be in compliance, generally and with respect to acting as a party with respect to its obligations under such Unit Agreement, with all applicable laws and regulations, and that such party will have the requisite organizational and legal power and authority to perform its obligations under such Unit Agreement;</w:t>
      </w:r>
    </w:p>
    <w:p>
      <w:pPr>
        <w:spacing w:after="0" w:line="76" w:lineRule="exact"/>
        <w:rPr>
          <w:rFonts w:ascii="Times New Roman" w:cs="Times New Roman" w:eastAsia="Times New Roman" w:hAnsi="Times New Roman"/>
          <w:sz w:val="14"/>
          <w:szCs w:val="14"/>
          <w:color w:val="auto"/>
        </w:rPr>
      </w:pPr>
    </w:p>
    <w:p>
      <w:pPr>
        <w:ind w:left="680" w:right="379" w:hanging="328"/>
        <w:spacing w:after="0" w:line="263" w:lineRule="auto"/>
        <w:tabs>
          <w:tab w:leader="none" w:pos="6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Units offered under the Registration Statement and the related purchase or similar agreement, as applicable, will be executed in the forms filed as exhibits to the Registration Statement or incorporated by reference therein;</w:t>
      </w:r>
    </w:p>
    <w:p>
      <w:pPr>
        <w:sectPr>
          <w:pgSz w:w="11900" w:h="16838" w:orient="portrait"/>
          <w:cols w:equalWidth="0" w:num="1">
            <w:col w:w="9019"/>
          </w:cols>
          <w:pgMar w:left="1440" w:top="239" w:right="1440" w:bottom="1440" w:gutter="0" w:footer="0" w:header="0"/>
        </w:sectPr>
      </w:pPr>
    </w:p>
    <w:bookmarkStart w:id="79" w:name="page80"/>
    <w:bookmarkEnd w:id="79"/>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4</w:t>
      </w:r>
    </w:p>
    <w:p>
      <w:pPr>
        <w:spacing w:after="0" w:line="173" w:lineRule="exact"/>
        <w:rPr>
          <w:sz w:val="20"/>
          <w:szCs w:val="20"/>
          <w:color w:val="auto"/>
        </w:rPr>
      </w:pPr>
    </w:p>
    <w:p>
      <w:pPr>
        <w:ind w:left="680" w:right="579" w:hanging="328"/>
        <w:spacing w:after="0" w:line="249"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Rights will be issued pursuant to rights agreements (each such rights agreement, a “Rights Agreement”) to be entered into by the Company and a rights agent (each, a “Rights Agent”)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74" w:lineRule="exact"/>
        <w:rPr>
          <w:rFonts w:ascii="Times New Roman" w:cs="Times New Roman" w:eastAsia="Times New Roman" w:hAnsi="Times New Roman"/>
          <w:sz w:val="14"/>
          <w:szCs w:val="14"/>
          <w:color w:val="auto"/>
        </w:rPr>
      </w:pPr>
    </w:p>
    <w:p>
      <w:pPr>
        <w:ind w:left="680" w:right="359" w:hanging="328"/>
        <w:spacing w:after="0" w:line="246"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obligations of the Company under any Rights Agreement may depend upon such matters, each of the parties thereto, other than the Company, will be duly organized, validly existing and in good standing under the laws of its jurisdiction of organization and will be duly qualified to engage in the activities contemplated by such Rights Agreement; that such Rights Agreement will have been duly authorized, executed and delivered by such party and will constitute the legal, valid and binding obligation of such party, enforceable against such party in accordance with its terms; that such party will be in compliance, generally and with respect to acting as a party with respect to its obligations under such Rights Agreement, with all applicable laws and regulations, and that such party will have the requisite organizational and legal power and authority to perform its obligations under such Rights Agreement;</w:t>
      </w:r>
    </w:p>
    <w:p>
      <w:pPr>
        <w:spacing w:after="0" w:line="76" w:lineRule="exact"/>
        <w:rPr>
          <w:rFonts w:ascii="Times New Roman" w:cs="Times New Roman" w:eastAsia="Times New Roman" w:hAnsi="Times New Roman"/>
          <w:sz w:val="14"/>
          <w:szCs w:val="14"/>
          <w:color w:val="auto"/>
        </w:rPr>
      </w:pPr>
    </w:p>
    <w:p>
      <w:pPr>
        <w:ind w:left="680" w:right="819" w:hanging="328"/>
        <w:spacing w:after="0" w:line="263"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Rights offered under the Registration Statement and the related Rights Agreement, as applicable, will be executed in the forms filed as exhibits to the Registration Statement or incorporated by reference therein;</w:t>
      </w:r>
    </w:p>
    <w:p>
      <w:pPr>
        <w:spacing w:after="0" w:line="64" w:lineRule="exact"/>
        <w:rPr>
          <w:rFonts w:ascii="Times New Roman" w:cs="Times New Roman" w:eastAsia="Times New Roman" w:hAnsi="Times New Roman"/>
          <w:sz w:val="14"/>
          <w:szCs w:val="14"/>
          <w:color w:val="auto"/>
        </w:rPr>
      </w:pPr>
    </w:p>
    <w:p>
      <w:pPr>
        <w:ind w:left="680" w:right="439" w:hanging="328"/>
        <w:spacing w:after="0" w:line="253"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spacing w:after="0" w:line="70" w:lineRule="exact"/>
        <w:rPr>
          <w:rFonts w:ascii="Times New Roman" w:cs="Times New Roman" w:eastAsia="Times New Roman" w:hAnsi="Times New Roman"/>
          <w:sz w:val="14"/>
          <w:szCs w:val="14"/>
          <w:color w:val="auto"/>
        </w:rPr>
      </w:pPr>
    </w:p>
    <w:p>
      <w:pPr>
        <w:jc w:val="both"/>
        <w:ind w:left="680" w:right="499" w:hanging="328"/>
        <w:spacing w:after="0" w:line="253"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Supplement will have been prepared, delivered (including through compliance with Rule 172 of the General Rules and Regulations promulgated under the Act), and filed with the Commission describing the Securities offered thereby and will comply with all applicable laws at the time the Securities are offered and issued as contemplated by the Registration Statement;</w:t>
      </w:r>
    </w:p>
    <w:p>
      <w:pPr>
        <w:spacing w:after="0" w:line="70" w:lineRule="exact"/>
        <w:rPr>
          <w:rFonts w:ascii="Times New Roman" w:cs="Times New Roman" w:eastAsia="Times New Roman" w:hAnsi="Times New Roman"/>
          <w:sz w:val="14"/>
          <w:szCs w:val="14"/>
          <w:color w:val="auto"/>
        </w:rPr>
      </w:pPr>
    </w:p>
    <w:p>
      <w:pPr>
        <w:ind w:left="680" w:hanging="328"/>
        <w:spacing w:after="0"/>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issued and sold in compliance with applicable federal and state securities laws; and</w:t>
      </w:r>
    </w:p>
    <w:p>
      <w:pPr>
        <w:spacing w:after="0" w:line="93" w:lineRule="exact"/>
        <w:rPr>
          <w:rFonts w:ascii="Times New Roman" w:cs="Times New Roman" w:eastAsia="Times New Roman" w:hAnsi="Times New Roman"/>
          <w:sz w:val="14"/>
          <w:szCs w:val="14"/>
          <w:color w:val="auto"/>
        </w:rPr>
      </w:pPr>
    </w:p>
    <w:p>
      <w:pPr>
        <w:ind w:left="680" w:right="599" w:hanging="328"/>
        <w:spacing w:after="0" w:line="263" w:lineRule="auto"/>
        <w:tabs>
          <w:tab w:leader="none" w:pos="6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purchase, underwriting, or similar agreement (each, a “Definitive Agreement”) with respect to any Securities offered or issued will have been duly authorized and validly executed and delivered by the Company and the other parties thereto.</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83" w:lineRule="exact"/>
        <w:rPr>
          <w:sz w:val="20"/>
          <w:szCs w:val="20"/>
          <w:color w:val="auto"/>
        </w:rPr>
      </w:pPr>
    </w:p>
    <w:p>
      <w:pPr>
        <w:ind w:left="360" w:right="359" w:firstLine="324"/>
        <w:spacing w:after="0" w:line="246" w:lineRule="auto"/>
        <w:tabs>
          <w:tab w:leader="none" w:pos="82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sectPr>
          <w:pgSz w:w="11900" w:h="16838" w:orient="portrait"/>
          <w:cols w:equalWidth="0" w:num="1">
            <w:col w:w="9019"/>
          </w:cols>
          <w:pgMar w:left="1440" w:top="239" w:right="1440" w:bottom="1440" w:gutter="0" w:footer="0" w:header="0"/>
        </w:sectPr>
      </w:pPr>
    </w:p>
    <w:bookmarkStart w:id="80" w:name="page81"/>
    <w:bookmarkEnd w:id="80"/>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5</w:t>
      </w:r>
    </w:p>
    <w:p>
      <w:pPr>
        <w:spacing w:after="0" w:line="173" w:lineRule="exact"/>
        <w:rPr>
          <w:sz w:val="20"/>
          <w:szCs w:val="20"/>
          <w:color w:val="auto"/>
        </w:rPr>
      </w:pPr>
    </w:p>
    <w:p>
      <w:pPr>
        <w:ind w:left="360" w:right="379" w:firstLine="324"/>
        <w:spacing w:after="0" w:line="293" w:lineRule="auto"/>
        <w:tabs>
          <w:tab w:leader="none" w:pos="82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due authorization by Corporate Action of the issuance and sale of shares of a series of Preferred Stock and upon issuance and delivery of such shares of such series of Preferred Stock against payment for such shares (in an amount at least equal to the aggregate par value of such shares of Preferred Stock) in accordance with the terms and provisions of the applicable Definitive Agreement,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 payment of consideration at least equal to the aggregate par value of such shares of Preferred Stock), such shares of such series of Preferred Stock will be validly issued, fully paid, and nonassessable.</w:t>
      </w:r>
    </w:p>
    <w:p>
      <w:pPr>
        <w:spacing w:after="0" w:line="123" w:lineRule="exact"/>
        <w:rPr>
          <w:rFonts w:ascii="Times New Roman" w:cs="Times New Roman" w:eastAsia="Times New Roman" w:hAnsi="Times New Roman"/>
          <w:sz w:val="12"/>
          <w:szCs w:val="12"/>
          <w:color w:val="auto"/>
        </w:rPr>
      </w:pPr>
    </w:p>
    <w:p>
      <w:pPr>
        <w:ind w:left="360" w:right="359" w:firstLine="324"/>
        <w:spacing w:after="0" w:line="245" w:lineRule="auto"/>
        <w:tabs>
          <w:tab w:leader="none" w:pos="82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w:t>
      </w:r>
    </w:p>
    <w:p>
      <w:pPr>
        <w:spacing w:after="0" w:line="149" w:lineRule="exact"/>
        <w:rPr>
          <w:rFonts w:ascii="Times New Roman" w:cs="Times New Roman" w:eastAsia="Times New Roman" w:hAnsi="Times New Roman"/>
          <w:sz w:val="14"/>
          <w:szCs w:val="14"/>
          <w:color w:val="auto"/>
        </w:rPr>
      </w:pPr>
    </w:p>
    <w:p>
      <w:pPr>
        <w:ind w:left="360" w:right="399" w:firstLine="324"/>
        <w:spacing w:after="0" w:line="245" w:lineRule="auto"/>
        <w:tabs>
          <w:tab w:leader="none" w:pos="82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the availability of equitable relief, including specific performance.</w:t>
      </w:r>
    </w:p>
    <w:p>
      <w:pPr>
        <w:spacing w:after="0" w:line="150" w:lineRule="exact"/>
        <w:rPr>
          <w:rFonts w:ascii="Times New Roman" w:cs="Times New Roman" w:eastAsia="Times New Roman" w:hAnsi="Times New Roman"/>
          <w:sz w:val="14"/>
          <w:szCs w:val="14"/>
          <w:color w:val="auto"/>
        </w:rPr>
      </w:pPr>
    </w:p>
    <w:p>
      <w:pPr>
        <w:ind w:left="360" w:right="439" w:firstLine="324"/>
        <w:spacing w:after="0" w:line="246" w:lineRule="auto"/>
        <w:tabs>
          <w:tab w:leader="none" w:pos="82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the availability of equitable relief, including specific performance.</w:t>
      </w:r>
    </w:p>
    <w:p>
      <w:pPr>
        <w:sectPr>
          <w:pgSz w:w="11900" w:h="16838" w:orient="portrait"/>
          <w:cols w:equalWidth="0" w:num="1">
            <w:col w:w="9019"/>
          </w:cols>
          <w:pgMar w:left="1440" w:top="239" w:right="1440" w:bottom="1440" w:gutter="0" w:footer="0" w:header="0"/>
        </w:sectPr>
      </w:pPr>
    </w:p>
    <w:bookmarkStart w:id="81" w:name="page82"/>
    <w:bookmarkEnd w:id="81"/>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L.B. Foster Company</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6</w:t>
      </w:r>
    </w:p>
    <w:p>
      <w:pPr>
        <w:spacing w:after="0" w:line="173" w:lineRule="exact"/>
        <w:rPr>
          <w:sz w:val="20"/>
          <w:szCs w:val="20"/>
          <w:color w:val="auto"/>
        </w:rPr>
      </w:pPr>
    </w:p>
    <w:p>
      <w:pPr>
        <w:ind w:left="360" w:right="399" w:firstLine="324"/>
        <w:spacing w:after="0" w:line="245" w:lineRule="auto"/>
        <w:tabs>
          <w:tab w:leader="none" w:pos="82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Rights Agreement providing for the specific terms of a particular issuance of Rights has been duly authorized by Corporate Action and has been duly executed and delivered by the Company and the Rights Agent named in such Rights Agreement and such Rights, conforming to the requirements of such Rights Agreement, have been duly countersigned or authenticated, as required, by such Rights Agent and duly executed and delivered by the Company against payment for such Rights in accordance with the terms and provisions of such Rights Agreement and applicable Definitive Agreements, the terms of the Corporate Action and as contemplated by the Registration Statement and the applicable Prospectus Supplement, such Rights will be valid and binding obligations of the Company, except as enforcement may be limited by applicable bankruptcy, insolvency, reorganization, arrangement, moratorium or other similar laws affecting creditors’ rights, and subject to general equity principles and to limitations on the availability of equitable relief, including specific performance.</w:t>
      </w:r>
    </w:p>
    <w:p>
      <w:pPr>
        <w:spacing w:after="0" w:line="151" w:lineRule="exact"/>
        <w:rPr>
          <w:sz w:val="20"/>
          <w:szCs w:val="20"/>
          <w:color w:val="auto"/>
        </w:rPr>
      </w:pPr>
    </w:p>
    <w:p>
      <w:pPr>
        <w:ind w:left="360" w:right="379"/>
        <w:spacing w:after="0" w:line="245" w:lineRule="auto"/>
        <w:rPr>
          <w:sz w:val="20"/>
          <w:szCs w:val="20"/>
          <w:color w:val="auto"/>
        </w:rPr>
      </w:pPr>
      <w:r>
        <w:rPr>
          <w:rFonts w:ascii="Times New Roman" w:cs="Times New Roman" w:eastAsia="Times New Roman" w:hAnsi="Times New Roman"/>
          <w:sz w:val="14"/>
          <w:szCs w:val="14"/>
          <w:color w:val="auto"/>
        </w:rPr>
        <w:t>The opinions set forth above as to validity, binding effect or enforceability of any agreement or obligation of the Company may be limited by: (i) the effect of bankruptcy, insolvency, reorganization, fraudulent conveyance, moratorium, or other similar laws now or hereafter in effect relating to or affecting the rights or remedies of creditors generally;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and (iv) requirements that a claim with respect to any Debt Securities in denominations other than United States dollars (or a judgment denominated other than in United States dollars in respect of the claim) be converted into United States dollars at a rate of exchange prevailing on a date determined by applicable law.</w:t>
      </w:r>
    </w:p>
    <w:p>
      <w:pPr>
        <w:spacing w:after="0" w:line="151" w:lineRule="exact"/>
        <w:rPr>
          <w:sz w:val="20"/>
          <w:szCs w:val="20"/>
          <w:color w:val="auto"/>
        </w:rPr>
      </w:pPr>
    </w:p>
    <w:p>
      <w:pPr>
        <w:ind w:left="360" w:right="539"/>
        <w:spacing w:after="0" w:line="315" w:lineRule="auto"/>
        <w:rPr>
          <w:sz w:val="20"/>
          <w:szCs w:val="20"/>
          <w:color w:val="auto"/>
        </w:rPr>
      </w:pPr>
      <w:r>
        <w:rPr>
          <w:rFonts w:ascii="Times New Roman" w:cs="Times New Roman" w:eastAsia="Times New Roman" w:hAnsi="Times New Roman"/>
          <w:sz w:val="12"/>
          <w:szCs w:val="12"/>
          <w:color w:val="auto"/>
        </w:rPr>
        <w:t>The opinions expressed herein are limited to the laws of the State of New York and the Pennsylvania Business Corporation Law of 1988, as amended,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spacing w:after="0" w:line="108" w:lineRule="exact"/>
        <w:rPr>
          <w:sz w:val="20"/>
          <w:szCs w:val="20"/>
          <w:color w:val="auto"/>
        </w:rPr>
      </w:pPr>
    </w:p>
    <w:p>
      <w:pPr>
        <w:jc w:val="both"/>
        <w:ind w:left="360" w:right="399"/>
        <w:spacing w:after="0" w:line="253" w:lineRule="auto"/>
        <w:rPr>
          <w:sz w:val="20"/>
          <w:szCs w:val="20"/>
          <w:color w:val="auto"/>
        </w:rPr>
      </w:pPr>
      <w:r>
        <w:rPr>
          <w:rFonts w:ascii="Times New Roman" w:cs="Times New Roman" w:eastAsia="Times New Roman" w:hAnsi="Times New Roman"/>
          <w:sz w:val="14"/>
          <w:szCs w:val="14"/>
          <w:color w:val="auto"/>
        </w:rPr>
        <w:t>We hereby consent to the use of this opinion as Exhibit 5.1 to the Registration Statement and to the reference to us under the caption “Legal Matters” in the Prospectus contained in the Registration Statement. In giving such consent, we do not hereby admit that we are acting within the category of persons whose consent is required under Section 7 of the Act or the rules or regulations of the Commission thereunder.</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 Morgan, Lewis &amp; Bockius LLP</w:t>
      </w:r>
    </w:p>
    <w:p>
      <w:pPr>
        <w:sectPr>
          <w:pgSz w:w="11900" w:h="16838" w:orient="portrait"/>
          <w:cols w:equalWidth="0" w:num="1">
            <w:col w:w="9019"/>
          </w:cols>
          <w:pgMar w:left="1440" w:top="239" w:right="1440" w:bottom="1440" w:gutter="0" w:footer="0" w:header="0"/>
        </w:sectPr>
      </w:pPr>
    </w:p>
    <w:bookmarkStart w:id="82" w:name="page83"/>
    <w:bookmarkEnd w:id="82"/>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9" w:lineRule="exact"/>
        <w:rPr>
          <w:sz w:val="20"/>
          <w:szCs w:val="20"/>
          <w:color w:val="auto"/>
        </w:rPr>
      </w:pPr>
    </w:p>
    <w:p>
      <w:pPr>
        <w:ind w:left="360" w:right="559"/>
        <w:spacing w:after="0" w:line="24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L.B. Foster Company for the registration of common stock, preferred stock, debt securities, warrants, subscription rights and units and to the incorporation by reference therein of our reports dated March 5, 2026, with respect to the consolidated financial statements and schedule of L.B. Foster Company and subsidiaries, and the effectiveness of internal control over financial reporting of L.B. Foster Company and subsidiaries, included in its Annual Report (Form 10-K) for the year ended December 31, 2025, filed with the Securities and Exchange Commission.</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Pittsburgh, Pennsylvania</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4, 2026</w:t>
      </w:r>
    </w:p>
    <w:p>
      <w:pPr>
        <w:sectPr>
          <w:pgSz w:w="11900" w:h="16838" w:orient="portrait"/>
          <w:cols w:equalWidth="0" w:num="1">
            <w:col w:w="9019"/>
          </w:cols>
          <w:pgMar w:left="1440" w:top="123" w:right="1440" w:bottom="1440" w:gutter="0" w:footer="0" w:header="0"/>
        </w:sectPr>
      </w:pPr>
    </w:p>
    <w:bookmarkStart w:id="83" w:name="page84"/>
    <w:bookmarkEnd w:id="83"/>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FOSTER L B CO</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3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3"/>
        </w:trPr>
        <w:tc>
          <w:tcPr>
            <w:tcW w:w="1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7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740" w:type="dxa"/>
            <w:vAlign w:val="bottom"/>
            <w:vMerge w:val="continue"/>
          </w:tcPr>
          <w:p>
            <w:pPr>
              <w:spacing w:after="0"/>
              <w:rPr>
                <w:sz w:val="14"/>
                <w:szCs w:val="14"/>
                <w:color w:val="auto"/>
              </w:rPr>
            </w:pPr>
          </w:p>
        </w:tc>
        <w:tc>
          <w:tcPr>
            <w:tcW w:w="9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3"/>
        </w:trPr>
        <w:tc>
          <w:tcPr>
            <w:tcW w:w="1820" w:type="dxa"/>
            <w:vAlign w:val="bottom"/>
          </w:tcPr>
          <w:p>
            <w:pPr>
              <w:jc w:val="center"/>
              <w:ind w:left="899"/>
              <w:spacing w:after="0"/>
              <w:rPr>
                <w:sz w:val="20"/>
                <w:szCs w:val="20"/>
                <w:color w:val="auto"/>
              </w:rPr>
            </w:pPr>
            <w:r>
              <w:rPr>
                <w:rFonts w:ascii="Arial" w:cs="Arial" w:eastAsia="Arial" w:hAnsi="Arial"/>
                <w:sz w:val="16"/>
                <w:szCs w:val="16"/>
                <w:b w:val="1"/>
                <w:bCs w:val="1"/>
                <w:color w:val="auto"/>
              </w:rPr>
              <w:t>Security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Calculation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720" w:type="dxa"/>
            <w:vAlign w:val="bottom"/>
          </w:tcPr>
          <w:p>
            <w:pPr>
              <w:jc w:val="center"/>
              <w:ind w:left="659"/>
              <w:spacing w:after="0"/>
              <w:rPr>
                <w:sz w:val="20"/>
                <w:szCs w:val="20"/>
                <w:color w:val="auto"/>
              </w:rPr>
            </w:pPr>
            <w:r>
              <w:rPr>
                <w:rFonts w:ascii="Arial" w:cs="Arial" w:eastAsia="Arial" w:hAnsi="Arial"/>
                <w:sz w:val="16"/>
                <w:szCs w:val="16"/>
                <w:b w:val="1"/>
                <w:bCs w:val="1"/>
                <w:color w:val="auto"/>
              </w:rPr>
              <w:t>Amount of</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1820" w:type="dxa"/>
            <w:vAlign w:val="bottom"/>
          </w:tcPr>
          <w:p>
            <w:pPr>
              <w:jc w:val="center"/>
              <w:ind w:left="899"/>
              <w:spacing w:after="0"/>
              <w:rPr>
                <w:sz w:val="20"/>
                <w:szCs w:val="20"/>
                <w:color w:val="auto"/>
              </w:rPr>
            </w:pPr>
            <w:r>
              <w:rPr>
                <w:rFonts w:ascii="Arial" w:cs="Arial" w:eastAsia="Arial" w:hAnsi="Arial"/>
                <w:sz w:val="16"/>
                <w:szCs w:val="16"/>
                <w:b w:val="1"/>
                <w:bCs w:val="1"/>
                <w:color w:val="auto"/>
                <w:w w:val="96"/>
              </w:rPr>
              <w:t>Type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Class Title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720" w:type="dxa"/>
            <w:vAlign w:val="bottom"/>
          </w:tcPr>
          <w:p>
            <w:pPr>
              <w:jc w:val="center"/>
              <w:ind w:left="639"/>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-839470</wp:posOffset>
            </wp:positionV>
            <wp:extent cx="7216140" cy="509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216140" cy="5098415"/>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ind w:left="1180"/>
        <w:spacing w:after="0" w:line="183" w:lineRule="auto"/>
        <w:tabs>
          <w:tab w:leader="none" w:pos="1860" w:val="left"/>
          <w:tab w:leader="none" w:pos="300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2"/>
          <w:szCs w:val="22"/>
          <w:color w:val="auto"/>
          <w:vertAlign w:val="superscript"/>
        </w:rPr>
        <w:t>Stock, par</w:t>
      </w:r>
      <w:r>
        <w:rPr>
          <w:sz w:val="20"/>
          <w:szCs w:val="20"/>
          <w:color w:val="auto"/>
        </w:rPr>
        <w:tab/>
      </w:r>
      <w:r>
        <w:rPr>
          <w:rFonts w:ascii="Arial" w:cs="Arial" w:eastAsia="Arial" w:hAnsi="Arial"/>
          <w:sz w:val="14"/>
          <w:szCs w:val="14"/>
          <w:color w:val="auto"/>
        </w:rPr>
        <w:t>457(o)</w:t>
      </w:r>
    </w:p>
    <w:p>
      <w:pPr>
        <w:ind w:left="1880"/>
        <w:spacing w:after="0"/>
        <w:rPr>
          <w:sz w:val="20"/>
          <w:szCs w:val="20"/>
          <w:color w:val="auto"/>
        </w:rPr>
      </w:pPr>
      <w:r>
        <w:rPr>
          <w:rFonts w:ascii="Arial" w:cs="Arial" w:eastAsia="Arial" w:hAnsi="Arial"/>
          <w:sz w:val="16"/>
          <w:szCs w:val="16"/>
          <w:color w:val="auto"/>
        </w:rPr>
        <w:t>value $0.01</w:t>
      </w:r>
    </w:p>
    <w:p>
      <w:pPr>
        <w:ind w:left="1880"/>
        <w:spacing w:after="0"/>
        <w:rPr>
          <w:sz w:val="20"/>
          <w:szCs w:val="20"/>
          <w:color w:val="auto"/>
        </w:rPr>
      </w:pPr>
      <w:r>
        <w:rPr>
          <w:rFonts w:ascii="Arial" w:cs="Arial" w:eastAsia="Arial" w:hAnsi="Arial"/>
          <w:sz w:val="16"/>
          <w:szCs w:val="16"/>
          <w:color w:val="auto"/>
        </w:rPr>
        <w:t>per share</w:t>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ind w:left="1180"/>
        <w:spacing w:after="0" w:line="183" w:lineRule="auto"/>
        <w:tabs>
          <w:tab w:leader="none" w:pos="1860" w:val="left"/>
          <w:tab w:leader="none" w:pos="300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2"/>
          <w:szCs w:val="22"/>
          <w:color w:val="auto"/>
          <w:vertAlign w:val="superscript"/>
        </w:rPr>
        <w:t>Stock,</w:t>
      </w:r>
      <w:r>
        <w:rPr>
          <w:sz w:val="20"/>
          <w:szCs w:val="20"/>
          <w:color w:val="auto"/>
        </w:rPr>
        <w:tab/>
      </w:r>
      <w:r>
        <w:rPr>
          <w:rFonts w:ascii="Arial" w:cs="Arial" w:eastAsia="Arial" w:hAnsi="Arial"/>
          <w:sz w:val="14"/>
          <w:szCs w:val="14"/>
          <w:color w:val="auto"/>
        </w:rPr>
        <w:t>457(o)</w:t>
      </w:r>
    </w:p>
    <w:p>
      <w:pPr>
        <w:ind w:left="1880"/>
        <w:spacing w:after="0"/>
        <w:rPr>
          <w:sz w:val="20"/>
          <w:szCs w:val="20"/>
          <w:color w:val="auto"/>
        </w:rPr>
      </w:pPr>
      <w:r>
        <w:rPr>
          <w:rFonts w:ascii="Arial" w:cs="Arial" w:eastAsia="Arial" w:hAnsi="Arial"/>
          <w:sz w:val="16"/>
          <w:szCs w:val="16"/>
          <w:color w:val="auto"/>
        </w:rPr>
        <w:t>without par</w:t>
      </w:r>
    </w:p>
    <w:p>
      <w:pPr>
        <w:ind w:left="1880"/>
        <w:spacing w:after="0"/>
        <w:rPr>
          <w:sz w:val="20"/>
          <w:szCs w:val="20"/>
          <w:color w:val="auto"/>
        </w:rPr>
      </w:pPr>
      <w:r>
        <w:rPr>
          <w:rFonts w:ascii="Arial" w:cs="Arial" w:eastAsia="Arial" w:hAnsi="Arial"/>
          <w:sz w:val="16"/>
          <w:szCs w:val="16"/>
          <w:color w:val="auto"/>
        </w:rPr>
        <w:t>value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Securities</w:t>
            </w:r>
          </w:p>
        </w:tc>
        <w:tc>
          <w:tcPr>
            <w:tcW w:w="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gridSpan w:val="2"/>
            <w:shd w:val="clear" w:color="auto" w:fill="E7E7E2"/>
          </w:tcPr>
          <w:p>
            <w:pPr>
              <w:ind w:left="20"/>
              <w:spacing w:after="0" w:line="172" w:lineRule="exact"/>
              <w:rPr>
                <w:sz w:val="20"/>
                <w:szCs w:val="20"/>
                <w:color w:val="auto"/>
              </w:rPr>
            </w:pPr>
            <w:r>
              <w:rPr>
                <w:rFonts w:ascii="Arial" w:cs="Arial" w:eastAsia="Arial" w:hAnsi="Arial"/>
                <w:sz w:val="16"/>
                <w:szCs w:val="16"/>
                <w:color w:val="auto"/>
                <w:w w:val="99"/>
              </w:rPr>
              <w:t>Subscription</w:t>
            </w:r>
          </w:p>
        </w:tc>
        <w:tc>
          <w:tcPr>
            <w:tcW w:w="20" w:type="dxa"/>
            <w:vAlign w:val="bottom"/>
          </w:tcPr>
          <w:p>
            <w:pPr>
              <w:spacing w:after="0"/>
              <w:rPr>
                <w:sz w:val="14"/>
                <w:szCs w:val="14"/>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0.000087</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$ 15,660.00</w:t>
            </w:r>
          </w:p>
        </w:tc>
        <w:tc>
          <w:tcPr>
            <w:tcW w:w="0" w:type="dxa"/>
            <w:vAlign w:val="bottom"/>
          </w:tcPr>
          <w:p>
            <w:pPr>
              <w:spacing w:after="0"/>
              <w:rPr>
                <w:sz w:val="1"/>
                <w:szCs w:val="1"/>
                <w:color w:val="auto"/>
              </w:rPr>
            </w:pPr>
          </w:p>
        </w:tc>
      </w:tr>
      <w:tr>
        <w:trPr>
          <w:trHeight w:val="163"/>
        </w:trPr>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180,000,000.00</w:t>
            </w: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$ 15,660.00</w:t>
            </w: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180,000,000.00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$ 15,660.00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1" w:lineRule="exact"/>
        <w:rPr>
          <w:sz w:val="20"/>
          <w:szCs w:val="20"/>
          <w:color w:val="auto"/>
        </w:rPr>
      </w:pPr>
    </w:p>
    <w:p>
      <w:pPr>
        <w:ind w:left="200" w:right="120" w:hanging="168"/>
        <w:spacing w:after="0" w:line="237" w:lineRule="auto"/>
        <w:tabs>
          <w:tab w:leader="none" w:pos="20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There are being registered under this Registration Statement such indeterminate number of shares of common stock, shares of preferred stock, debt securities, warrants, subscription rights and units of L.B. Foster Company (the "Registrant"), and a combination of such securities, separately or as units, as may be sold by the Registrant from time to time, which, collectively, shall have an initial maximum aggregate offering price not to exceed $180,000,000 (or its equivalent in any other currency used to denominate the securities). Pursuant to Rule 416 under the U.S. Securities Act of 1933, as amended (the "Securities Act"), the securities being registered hereunder include such indeterminate number of shares of common stock, shares of preferred stock, debt securities, warrants, subscription rights and units as may be issuable with respect to the securities being registered hereunder as a result of stock splits, stock dividends, or similar transactions. The proposed maximum aggregate offering price per class of security will be determined from time to time by the Registrant in connection with the issuance by the Registrant of the securities registered under this Registration Statement and is not specified as to each class of security pursuant to Instruction 2.A.iii.b. to the Instructions to the Calculation of Filing Fee Tables and Related Disclosure on Form S-3 under the Securities Act. The proposed maximum aggregate offering price per class of security has been estimated solely for purposes of calculating the registration fee in accordance with Rule 457(o) under the Securities Act. In no event will the aggregate offering price of the securities issued under the Registration Statement exceed the amount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264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-965200</wp:posOffset>
            </wp:positionV>
            <wp:extent cx="12700" cy="2247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2700" cy="22479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-965200</wp:posOffset>
            </wp:positionV>
            <wp:extent cx="12700" cy="2247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12700" cy="22479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4540" cy="245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14540" cy="2457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4540" cy="245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14540" cy="2457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4540" cy="245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14540" cy="2457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4540" cy="2089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14540" cy="20891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84" w:name="page85"/>
    <w:bookmarkEnd w:id="84"/>
    <w:p>
      <w:pPr>
        <w:ind w:left="40"/>
        <w:spacing w:after="0"/>
        <w:rPr>
          <w:sz w:val="20"/>
          <w:szCs w:val="20"/>
          <w:color w:val="auto"/>
        </w:rPr>
      </w:pPr>
      <w:r>
        <w:rPr>
          <w:rFonts w:ascii="Arial" w:cs="Arial" w:eastAsia="Arial" w:hAnsi="Arial"/>
          <w:sz w:val="16"/>
          <w:szCs w:val="16"/>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717232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2325" cy="14541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6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restart"/>
            <w:shd w:val="clear" w:color="auto" w:fill="9ADAF6"/>
          </w:tcPr>
          <w:p>
            <w:pPr>
              <w:ind w:left="26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lvl w:ilvl="1">
      <w:lvlJc w:val="left"/>
      <w:lvlText w:val="%2."/>
      <w:numFmt w:val="decimal"/>
      <w:start w:val="1"/>
    </w:lvl>
  </w:abstractNum>
  <w:abstractNum w:abstractNumId="16">
    <w:nsid w:val="684A481A"/>
    <w:multiLevelType w:val="hybridMultilevel"/>
    <w:lvl w:ilvl="0">
      <w:lvlJc w:val="left"/>
      <w:lvlText w:val="•"/>
      <w:numFmt w:val="bullet"/>
      <w:start w:val="1"/>
    </w:lvl>
    <w:lvl w:ilvl="1">
      <w:lvlJc w:val="left"/>
      <w:lvlText w:val="%2."/>
      <w:numFmt w:val="decimal"/>
      <w:start w:val="3"/>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
      <w:numFmt w:val="bullet"/>
      <w:start w:val="1"/>
    </w:lvl>
  </w:abstractNum>
  <w:abstractNum w:abstractNumId="26">
    <w:nsid w:val="374A3FE6"/>
    <w:multiLevelType w:val="hybridMultilevel"/>
    <w:lvl w:ilvl="0">
      <w:lvlJc w:val="left"/>
      <w:lvlText w:val=" "/>
      <w:numFmt w:val="bullet"/>
      <w:start w:val="1"/>
    </w:lvl>
  </w:abstractNum>
  <w:abstractNum w:abstractNumId="27">
    <w:nsid w:val="4F4EF005"/>
    <w:multiLevelType w:val="hybridMultilevel"/>
    <w:lvl w:ilvl="0">
      <w:lvlJc w:val="left"/>
      <w:lvlText w:val="%1"/>
      <w:numFmt w:val="decimal"/>
      <w:start w:val="107"/>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lowerRoman"/>
      <w:start w:val="1"/>
    </w:lvl>
  </w:abstractNum>
  <w:abstractNum w:abstractNumId="32">
    <w:nsid w:val="1CF10FD8"/>
    <w:multiLevelType w:val="hybridMultilevel"/>
    <w:lvl w:ilvl="0">
      <w:lvlJc w:val="left"/>
      <w:lvlText w:val="(%1)"/>
      <w:numFmt w:val="lowerRoman"/>
      <w:start w:val="2"/>
    </w:lvl>
  </w:abstractNum>
  <w:abstractNum w:abstractNumId="33">
    <w:nsid w:val="180115BE"/>
    <w:multiLevelType w:val="hybridMultilevel"/>
    <w:lvl w:ilvl="0">
      <w:lvlJc w:val="left"/>
      <w:lvlText w:val="(%1)"/>
      <w:numFmt w:val="lowerLetter"/>
      <w:start w:val="2"/>
    </w:lvl>
  </w:abstractNum>
  <w:abstractNum w:abstractNumId="34">
    <w:nsid w:val="235BA861"/>
    <w:multiLevelType w:val="hybridMultilevel"/>
    <w:lvl w:ilvl="0">
      <w:lvlJc w:val="left"/>
      <w:lvlText w:val="(%1)"/>
      <w:numFmt w:val="lowerRoman"/>
      <w:start w:val="1"/>
    </w:lvl>
  </w:abstractNum>
  <w:abstractNum w:abstractNumId="35">
    <w:nsid w:val="47398C89"/>
    <w:multiLevelType w:val="hybridMultilevel"/>
    <w:lvl w:ilvl="0">
      <w:lvlJc w:val="left"/>
      <w:lvlText w:val="(%1)"/>
      <w:numFmt w:val="lowerLetter"/>
      <w:start w:val="5"/>
    </w:lvl>
  </w:abstractNum>
  <w:abstractNum w:abstractNumId="36">
    <w:nsid w:val="354FE9F9"/>
    <w:multiLevelType w:val="hybridMultilevel"/>
    <w:lvl w:ilvl="0">
      <w:lvlJc w:val="left"/>
      <w:lvlText w:val="(%1)"/>
      <w:numFmt w:val="lowerRoman"/>
      <w:start w:val="1"/>
    </w:lvl>
  </w:abstractNum>
  <w:abstractNum w:abstractNumId="37">
    <w:nsid w:val="15B5AF5C"/>
    <w:multiLevelType w:val="hybridMultilevel"/>
    <w:lvl w:ilvl="0">
      <w:lvlJc w:val="left"/>
      <w:lvlText w:val="%1."/>
      <w:numFmt w:val="decimal"/>
      <w:start w:val="2"/>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3"/>
    </w:lvl>
  </w:abstractNum>
  <w:abstractNum w:abstractNumId="41">
    <w:nsid w:val="3F6AB60F"/>
    <w:multiLevelType w:val="hybridMultilevel"/>
    <w:lvl w:ilvl="0">
      <w:lvlJc w:val="left"/>
      <w:lvlText w:val="(%1)"/>
      <w:numFmt w:val="decimal"/>
      <w:start w:val="19"/>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4"/>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35"/>
    </w:lvl>
  </w:abstractNum>
  <w:abstractNum w:abstractNumId="48">
    <w:nsid w:val="2F305DEF"/>
    <w:multiLevelType w:val="hybridMultilevel"/>
    <w:lvl w:ilvl="0">
      <w:lvlJc w:val="left"/>
      <w:lvlText w:val="(%1)"/>
      <w:numFmt w:val="lowerLetter"/>
      <w:start w:val="2"/>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3"/>
    </w:lvl>
  </w:abstractNum>
  <w:abstractNum w:abstractNumId="51">
    <w:nsid w:val="4AD084E9"/>
    <w:multiLevelType w:val="hybridMultilevel"/>
    <w:lvl w:ilvl="0">
      <w:lvlJc w:val="left"/>
      <w:lvlText w:val="(%1)"/>
      <w:numFmt w:val="upperLetter"/>
      <w:start w:val="1"/>
    </w:lvl>
  </w:abstractNum>
  <w:abstractNum w:abstractNumId="52">
    <w:nsid w:val="1F48EAA1"/>
    <w:multiLevelType w:val="hybridMultilevel"/>
    <w:lvl w:ilvl="0">
      <w:lvlJc w:val="left"/>
      <w:lvlText w:val="(%1)"/>
      <w:numFmt w:val="decimal"/>
      <w:start w:val="5"/>
    </w:lvl>
  </w:abstractNum>
  <w:abstractNum w:abstractNumId="53">
    <w:nsid w:val="1381823A"/>
    <w:multiLevelType w:val="hybridMultilevel"/>
    <w:lvl w:ilvl="0">
      <w:lvlJc w:val="left"/>
      <w:lvlText w:val="(%1)"/>
      <w:numFmt w:val="upperLetter"/>
      <w:start w:val="2"/>
    </w:lvl>
  </w:abstractNum>
  <w:abstractNum w:abstractNumId="54">
    <w:nsid w:val="5DB70AE5"/>
    <w:multiLevelType w:val="hybridMultilevel"/>
    <w:lvl w:ilvl="0">
      <w:lvlJc w:val="left"/>
      <w:lvlText w:val="(%1)"/>
      <w:numFmt w:val="decimal"/>
      <w:start w:val="6"/>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lowerLetter"/>
      <w:start w:val="3"/>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lowerLetter"/>
      <w:start w:val="4"/>
    </w:lvl>
  </w:abstractNum>
  <w:abstractNum w:abstractNumId="61">
    <w:nsid w:val="6B94764"/>
    <w:multiLevelType w:val="hybridMultilevel"/>
    <w:lvl w:ilvl="0">
      <w:lvlJc w:val="left"/>
      <w:lvlText w:val="(%1)"/>
      <w:numFmt w:val="lowerLetter"/>
      <w:start w:val="6"/>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lowerLetter"/>
      <w:start w:val="2"/>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lowerRoman"/>
      <w:start w:val="1"/>
    </w:lvl>
  </w:abstractNum>
  <w:abstractNum w:abstractNumId="74">
    <w:nsid w:val="A0382C5"/>
    <w:multiLevelType w:val="hybridMultilevel"/>
    <w:lvl w:ilvl="0">
      <w:lvlJc w:val="left"/>
      <w:lvlText w:val="%1."/>
      <w:numFmt w:val="upperLetter"/>
      <w:start w:val="1"/>
    </w:lvl>
  </w:abstractNum>
  <w:abstractNum w:abstractNumId="75">
    <w:nsid w:val="8F2B15E"/>
    <w:multiLevelType w:val="hybridMultilevel"/>
    <w:lvl w:ilvl="0">
      <w:lvlJc w:val="left"/>
      <w:lvlText w:val="%1."/>
      <w:numFmt w:val="upperLetter"/>
      <w:start w:val="6"/>
    </w:lvl>
  </w:abstractNum>
  <w:abstractNum w:abstractNumId="76">
    <w:nsid w:val="1A32234B"/>
    <w:multiLevelType w:val="hybridMultilevel"/>
    <w:lvl w:ilvl="0">
      <w:lvlJc w:val="left"/>
      <w:lvlText w:val="%1."/>
      <w:numFmt w:val="upperLetter"/>
      <w:start w:val="12"/>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2"/>
    </w:lvl>
  </w:abstractNum>
  <w:abstractNum w:abstractNumId="79">
    <w:nsid w:val="4962813B"/>
    <w:multiLevelType w:val="hybridMultilevel"/>
    <w:lvl w:ilvl="0">
      <w:lvlJc w:val="left"/>
      <w:lvlText w:val="%1."/>
      <w:numFmt w:val="decimal"/>
      <w:start w:val="6"/>
    </w:lvl>
  </w:abstractNum>
  <w:abstractNum w:abstractNumId="80">
    <w:nsid w:val="60B6DF7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jpeg"/><Relationship Id="rId122" Type="http://schemas.openxmlformats.org/officeDocument/2006/relationships/image" Target="media/image101.jpeg"/><Relationship Id="rId123" Type="http://schemas.openxmlformats.org/officeDocument/2006/relationships/image" Target="media/image102.jpe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30" Type="http://schemas.openxmlformats.org/officeDocument/2006/relationships/hyperlink" Target="http://www.sec.gov/ix?doc=/Archives/edgar/data/0000352825/000035282526000016/fstr-20251231.htm" TargetMode="External"/><Relationship Id="rId34" Type="http://schemas.openxmlformats.org/officeDocument/2006/relationships/hyperlink" Target="http://www.sec.gov/ix?doc=/Archives/edgar/data/0000352825/000114036126014171/ny20062559x1_def14a.htm" TargetMode="External"/><Relationship Id="rId35" Type="http://schemas.openxmlformats.org/officeDocument/2006/relationships/hyperlink" Target="http://www.sec.gov/ix?doc=/Archives/edgar/data/0000352825/000035282526000029/fstr-20260331.htm" TargetMode="External"/><Relationship Id="rId36" Type="http://schemas.openxmlformats.org/officeDocument/2006/relationships/hyperlink" Target="http://www.sec.gov/ix?doc=/Archives/edgar/data/0000352825/000035282526000049/fstr-20260630.htm" TargetMode="External"/><Relationship Id="rId37" Type="http://schemas.openxmlformats.org/officeDocument/2006/relationships/hyperlink" Target="http://www.sec.gov/ix?doc=/Archives/edgar/data/352825/000035282526000058/fstr-20260930.htm" TargetMode="External"/><Relationship Id="rId38" Type="http://schemas.openxmlformats.org/officeDocument/2006/relationships/hyperlink" Target="http://www.sec.gov/ix?doc=/Archives/edgar/data/0000352825/000035282526000031/fstr-20260520.htm" TargetMode="External"/><Relationship Id="rId39" Type="http://schemas.openxmlformats.org/officeDocument/2006/relationships/hyperlink" Target="http://www.sec.gov/ix?doc=/Archives/edgar/data/0000352825/000035282526000033/fstr-20260521.htm" TargetMode="External"/><Relationship Id="rId40" Type="http://schemas.openxmlformats.org/officeDocument/2006/relationships/hyperlink" Target="http://www.sec.gov/ix?doc=/Archives/edgar/data/0000352825/000035282526000043/fstr-20260728.htm" TargetMode="External"/><Relationship Id="rId41" Type="http://schemas.openxmlformats.org/officeDocument/2006/relationships/hyperlink" Target="http://www.sec.gov/Archives/edgar/data/352825/000035282526000053/0000352825-26-000053-index.htm" TargetMode="External"/><Relationship Id="rId42" Type="http://schemas.openxmlformats.org/officeDocument/2006/relationships/hyperlink" Target="http://www.sec.gov/Archives/edgar/data/352825/0000352825-98-000025.txt" TargetMode="External"/><Relationship Id="rId43" Type="http://schemas.openxmlformats.org/officeDocument/2006/relationships/hyperlink" Target="http://www.sec.gov/Archives/edgar/data/0000352825/000035282526000016/a202510kex-41.htm" TargetMode="External"/><Relationship Id="rId67" Type="http://schemas.openxmlformats.org/officeDocument/2006/relationships/hyperlink" Target="http://www.sec.gov/Archives/edgar/data/352825/000035282503000006/ex31.txt" TargetMode="External"/><Relationship Id="rId68" Type="http://schemas.openxmlformats.org/officeDocument/2006/relationships/hyperlink" Target="http://www.sec.gov/Archives/edgar/data/352825/000035282523000095/ex-31q22023.htm" TargetMode="External"/><Relationship Id="rId69" Type="http://schemas.openxmlformats.org/officeDocument/2006/relationships/hyperlink" Target="http://www.sec.gov/Archives/edgar/data/352825/000035282526000016/a202510k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2026-11-04T16:13:00Z</dcterms:created>
  <dcterms:modified xsi:type="dcterms:W3CDTF">2026-11-04T16:13:00Z</dcterms:modified>
</cp:coreProperties>
</file>