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jc w:val="center"/>
        <w:ind w:right="-7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2, 2019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L.B. Foster Company</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260" w:type="dxa"/>
        <w:tblCellMar>
          <w:top w:w="0" w:type="dxa"/>
          <w:left w:w="0" w:type="dxa"/>
          <w:bottom w:w="0" w:type="dxa"/>
          <w:right w:w="0" w:type="dxa"/>
        </w:tblCellMar>
      </w:tblPr>
      <w:tr>
        <w:trPr>
          <w:trHeight w:val="234"/>
        </w:trPr>
        <w:tc>
          <w:tcPr>
            <w:tcW w:w="3800" w:type="dxa"/>
            <w:vAlign w:val="bottom"/>
          </w:tcPr>
          <w:p>
            <w:pPr>
              <w:jc w:val="center"/>
              <w:ind w:right="570"/>
              <w:spacing w:after="0"/>
              <w:rPr>
                <w:sz w:val="20"/>
                <w:szCs w:val="20"/>
                <w:color w:val="auto"/>
              </w:rPr>
            </w:pPr>
            <w:r>
              <w:rPr>
                <w:rFonts w:ascii="Arial" w:cs="Arial" w:eastAsia="Arial" w:hAnsi="Arial"/>
                <w:sz w:val="18"/>
                <w:szCs w:val="18"/>
                <w:b w:val="1"/>
                <w:bCs w:val="1"/>
                <w:color w:val="auto"/>
                <w:w w:val="88"/>
              </w:rPr>
              <w:t>Pennsylvania</w:t>
            </w:r>
          </w:p>
        </w:tc>
        <w:tc>
          <w:tcPr>
            <w:tcW w:w="3380" w:type="dxa"/>
            <w:vAlign w:val="bottom"/>
          </w:tcPr>
          <w:p>
            <w:pPr>
              <w:jc w:val="right"/>
              <w:ind w:right="1310"/>
              <w:spacing w:after="0"/>
              <w:rPr>
                <w:sz w:val="20"/>
                <w:szCs w:val="20"/>
                <w:color w:val="auto"/>
              </w:rPr>
            </w:pPr>
            <w:r>
              <w:rPr>
                <w:rFonts w:ascii="Arial" w:cs="Arial" w:eastAsia="Arial" w:hAnsi="Arial"/>
                <w:sz w:val="18"/>
                <w:szCs w:val="18"/>
                <w:b w:val="1"/>
                <w:bCs w:val="1"/>
                <w:color w:val="auto"/>
              </w:rPr>
              <w:t>000-10436</w:t>
            </w:r>
          </w:p>
        </w:tc>
        <w:tc>
          <w:tcPr>
            <w:tcW w:w="3360" w:type="dxa"/>
            <w:vAlign w:val="bottom"/>
          </w:tcPr>
          <w:p>
            <w:pPr>
              <w:jc w:val="right"/>
              <w:ind w:right="790"/>
              <w:spacing w:after="0"/>
              <w:rPr>
                <w:sz w:val="20"/>
                <w:szCs w:val="20"/>
                <w:color w:val="auto"/>
              </w:rPr>
            </w:pPr>
            <w:r>
              <w:rPr>
                <w:rFonts w:ascii="Arial" w:cs="Arial" w:eastAsia="Arial" w:hAnsi="Arial"/>
                <w:sz w:val="18"/>
                <w:szCs w:val="18"/>
                <w:b w:val="1"/>
                <w:bCs w:val="1"/>
                <w:color w:val="auto"/>
              </w:rPr>
              <w:t>25-1324733</w:t>
            </w:r>
          </w:p>
        </w:tc>
      </w:tr>
      <w:tr>
        <w:trPr>
          <w:trHeight w:val="27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right"/>
              <w:ind w:right="670"/>
              <w:spacing w:after="0"/>
              <w:rPr>
                <w:sz w:val="20"/>
                <w:szCs w:val="20"/>
                <w:color w:val="auto"/>
              </w:rPr>
            </w:pPr>
            <w:r>
              <w:rPr>
                <w:rFonts w:ascii="Arial" w:cs="Arial" w:eastAsia="Arial" w:hAnsi="Arial"/>
                <w:sz w:val="18"/>
                <w:szCs w:val="18"/>
                <w:color w:val="auto"/>
              </w:rPr>
              <w:t>(Commission File Number)</w:t>
            </w:r>
          </w:p>
        </w:tc>
        <w:tc>
          <w:tcPr>
            <w:tcW w:w="3360" w:type="dxa"/>
            <w:vAlign w:val="bottom"/>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522"/>
        </w:trPr>
        <w:tc>
          <w:tcPr>
            <w:tcW w:w="3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415 Holiday Drive, Suite 100, Pittsburgh,</w:t>
            </w:r>
          </w:p>
        </w:tc>
        <w:tc>
          <w:tcPr>
            <w:tcW w:w="3380" w:type="dxa"/>
            <w:vAlign w:val="bottom"/>
          </w:tcPr>
          <w:p>
            <w:pPr>
              <w:spacing w:after="0"/>
              <w:rPr>
                <w:sz w:val="24"/>
                <w:szCs w:val="24"/>
                <w:color w:val="auto"/>
              </w:rPr>
            </w:pPr>
          </w:p>
        </w:tc>
        <w:tc>
          <w:tcPr>
            <w:tcW w:w="3360" w:type="dxa"/>
            <w:vAlign w:val="bottom"/>
          </w:tcPr>
          <w:p>
            <w:pPr>
              <w:jc w:val="right"/>
              <w:ind w:right="1010"/>
              <w:spacing w:after="0"/>
              <w:rPr>
                <w:sz w:val="20"/>
                <w:szCs w:val="20"/>
                <w:color w:val="auto"/>
              </w:rPr>
            </w:pPr>
            <w:r>
              <w:rPr>
                <w:rFonts w:ascii="Arial" w:cs="Arial" w:eastAsia="Arial" w:hAnsi="Arial"/>
                <w:sz w:val="18"/>
                <w:szCs w:val="18"/>
                <w:b w:val="1"/>
                <w:bCs w:val="1"/>
                <w:color w:val="auto"/>
              </w:rPr>
              <w:t>15220</w:t>
            </w:r>
          </w:p>
        </w:tc>
      </w:tr>
      <w:tr>
        <w:trPr>
          <w:trHeight w:val="234"/>
        </w:trPr>
        <w:tc>
          <w:tcPr>
            <w:tcW w:w="3800" w:type="dxa"/>
            <w:vAlign w:val="bottom"/>
          </w:tcPr>
          <w:p>
            <w:pPr>
              <w:jc w:val="center"/>
              <w:ind w:right="570"/>
              <w:spacing w:after="0"/>
              <w:rPr>
                <w:sz w:val="20"/>
                <w:szCs w:val="20"/>
                <w:color w:val="auto"/>
              </w:rPr>
            </w:pPr>
            <w:r>
              <w:rPr>
                <w:rFonts w:ascii="Arial" w:cs="Arial" w:eastAsia="Arial" w:hAnsi="Arial"/>
                <w:sz w:val="18"/>
                <w:szCs w:val="18"/>
                <w:b w:val="1"/>
                <w:bCs w:val="1"/>
                <w:color w:val="auto"/>
                <w:w w:val="88"/>
              </w:rPr>
              <w:t>Pennsylvania</w:t>
            </w:r>
          </w:p>
        </w:tc>
        <w:tc>
          <w:tcPr>
            <w:tcW w:w="33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7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spacing w:after="0"/>
              <w:rPr>
                <w:sz w:val="23"/>
                <w:szCs w:val="23"/>
                <w:color w:val="auto"/>
              </w:rPr>
            </w:pPr>
          </w:p>
        </w:tc>
        <w:tc>
          <w:tcPr>
            <w:tcW w:w="3360" w:type="dxa"/>
            <w:vAlign w:val="bottom"/>
          </w:tcPr>
          <w:p>
            <w:pPr>
              <w:jc w:val="center"/>
              <w:ind w:left="67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 928-3400</w:t>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9"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9" w:lineRule="exact"/>
        <w:rPr>
          <w:sz w:val="24"/>
          <w:szCs w:val="24"/>
          <w:color w:val="auto"/>
        </w:rPr>
      </w:pPr>
    </w:p>
    <w:p>
      <w:pPr>
        <w:ind w:left="220" w:hanging="214"/>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60" w:top="86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April 30, 2019, L.B. Foster Company (“the Company”), its domestic subsidiaries, and certain of its Canadian and United Kingdom subsidiaries (collectively, the “Borrowers”), entered into the Third Amended and Restated Credit Agreement (“Amended Credit Agreement”) with PNC Bank, N.A., Bank of America, N.A., Wells Fargo Bank, N.A., Citizens Bank, N.A., and BMO Harris Bank, N.A. This Amended Credit Agreement modifies the prior revolving credit facility which had a maximum credit line of $195,000,000, and extends the maturity date from March 13, 2020 to April 30, 2024. The Amended Credit Agreement provides for a five-year, revolving credit facility that permits aggregate borrowings of the Borrowers up to $140,000,000 with a sublimit of the equivalent of $25,000,000 U.S. dollars that is available to the Canadian and United Kingdom borrowers in the aggregate. The Amended Credit Agreement’s incremental loan feature permits the Company to increase the available commitments under the facility by up to an additional $50,000,000 subject to the Company’s receipt of increased commitments from existing or new lenders and the satisfaction of certain conditions.</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and the domestic, Canadian and United Kingdom guarantors’ (the "Guarantors") obligations under the Amended Credit Agreement will be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Borrowings under the Amended Credit Agreement will bear interest at rates based upon either the base rate or Euro-rate plus applicable margins. Applicable margins are dictated by the ratio of the Company’s total net indebtedness to the Company’s consolidated EBITDA for four trailing quarters, as defined in the Amended Credit Agreement. The base rate is the highest of (a) the Overnight Bank Funding Rate plus 0.50%, (b) the Prime Rate, or (c) the Daily Euro-rate plus 1.00% (each as defined in the Amended Credit Agreement). The base rate and Euro-rate spreads range from 0.25% to 1.25% and 1.25% to 2.25%, respectively.</w:t>
      </w:r>
    </w:p>
    <w:p>
      <w:pPr>
        <w:spacing w:after="0" w:line="21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Amended Credit Agreement includes three financial covenants: (a) Maximum Gross Leverage Ratio, defined as the Company’s consolidated Indebtedness divided by the Company’s consolidated EBITDA, which must not exceed (i) 3.25 to 1.00 for all testing periods other than during an Acquisition Period, and (ii) 3.50 to 1.00 for all testing periods occurring during an Acquisition Period; (b) Minimum Consolidated Fixed Charge Coverage Ratio, defined as the Company's consolidated EBITDA divided by the Company's Fixed Charges, which must be more than 1.25 to 1.00; and (c) Minimum Working Capital to Revolving Facility Usage Ratio, defined as the sum of the inventory and accounts receivable of the Borrowers and certain other Guarantors divided by Revolving Facility Usage, which must be more than 1.40 to 1.00.</w:t>
      </w:r>
    </w:p>
    <w:p>
      <w:pPr>
        <w:spacing w:after="0" w:line="22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Amended Credit Agreement permits the Company to pay dividends and make distributions and redemptions with respect to its stock provided no event of default or potential default (as defined in the Amended Credit Agreement) has occurred prior to or after giving effect to the dividend, distribution, or redemption. Additionally, the Amended Credit Agreement permits the Company to complete acquisitions so long as (a) no event of default or potential default has occurred prior to or as a result of such acquisition; (b) the liquidity of the Borrowers is not less than $25,000,000 prior to and after giving effect to such acquisition; and (c) the aggregate consideration for the acquisition does not exceed: (i) $50,000,000 per acquisition; (ii) $50,000,000 in the aggregate for multiple acquisitions entered into during four consecutive quarters; and (iii) $100,000,000 in the aggregate over the term of the Amended Credit Agreement.</w:t>
      </w:r>
    </w:p>
    <w:p>
      <w:pPr>
        <w:spacing w:after="0" w:line="19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Other restrictions exist at all times including, but not limited to, limitations on the Company’s sale of assets and the incurrence by either the Borrowers or the non-borrower subsidiaries of the Company of other indebtedness, guarantees, and liens.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On May 2, 2019, the Company issued a press release announcing the transaction described in Items 1.01 and 2.03 of this Current Report on Form 8-K. A copy of the press release is attached hereto as Exhibit 99.1. The information in this Item 7.01, including exhibit 99.1, is furnished and shall not be deemed “filed” for purposes of Section 18 of the Securities Exchange Act of 1934, or otherwise subject to liabilities under that section, and shall not</w:t>
      </w:r>
    </w:p>
    <w:p>
      <w:pPr>
        <w:sectPr>
          <w:pgSz w:w="11900" w:h="16838" w:orient="portrait"/>
          <w:cols w:equalWidth="0" w:num="1">
            <w:col w:w="11400"/>
          </w:cols>
          <w:pgMar w:left="240" w:top="769" w:right="25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be deemed to be incorporated by reference into the filings of L.B. Foster Company under the Securities Act of 1933, as amended, regardless of any general incorporation language in such filings.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w:t>
      </w:r>
    </w:p>
    <w:p>
      <w:pPr>
        <w:sectPr>
          <w:pgSz w:w="11900" w:h="16838" w:orient="portrait"/>
          <w:cols w:equalWidth="0" w:num="1">
            <w:col w:w="11180"/>
          </w:cols>
          <w:pgMar w:left="240" w:top="77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Exhibit Number</w:t>
      </w:r>
    </w:p>
    <w:p>
      <w:pPr>
        <w:spacing w:after="0" w:line="7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6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54"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Third Amended and Restated Credit Agreement dated April 30, 2019, between Registrant and PNC Bank, N.A., Bank of</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America, N.A., Wells Fargo Bank, N.A., Citizens Bank, N.A., and BMO Harris Bank, N.A.</w:t>
        </w:r>
      </w:hyperlink>
    </w:p>
    <w:p>
      <w:pPr>
        <w:spacing w:after="0" w:line="270" w:lineRule="exact"/>
        <w:rPr>
          <w:sz w:val="20"/>
          <w:szCs w:val="20"/>
          <w:color w:val="auto"/>
        </w:rPr>
      </w:pPr>
    </w:p>
    <w:p>
      <w:pPr>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Press Release dated May 2, 2019, of L.B. Foster Company.</w:t>
        </w:r>
      </w:hyperlink>
    </w:p>
    <w:p>
      <w:pPr>
        <w:sectPr>
          <w:pgSz w:w="11900" w:h="16838" w:orient="portrait"/>
          <w:cols w:equalWidth="0" w:num="2">
            <w:col w:w="1860" w:space="600"/>
            <w:col w:w="8720"/>
          </w:cols>
          <w:pgMar w:left="240" w:top="773" w:right="47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7340"/>
        <w:spacing w:after="0"/>
        <w:rPr>
          <w:sz w:val="20"/>
          <w:szCs w:val="20"/>
          <w:color w:val="auto"/>
        </w:rPr>
      </w:pPr>
      <w:r>
        <w:rPr>
          <w:rFonts w:ascii="Arial" w:cs="Arial" w:eastAsia="Arial" w:hAnsi="Arial"/>
          <w:sz w:val="18"/>
          <w:szCs w:val="18"/>
          <w:b w:val="1"/>
          <w:bCs w:val="1"/>
          <w:u w:val="single" w:color="auto"/>
          <w:color w:val="auto"/>
        </w:rPr>
        <w:t>L.B. FOSTER COMPANY</w:t>
      </w:r>
    </w:p>
    <w:p>
      <w:pPr>
        <w:spacing w:after="0" w:line="6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(Registrant)</w:t>
      </w:r>
    </w:p>
    <w:p>
      <w:pPr>
        <w:spacing w:after="0" w:line="316" w:lineRule="exact"/>
        <w:rPr>
          <w:sz w:val="20"/>
          <w:szCs w:val="20"/>
          <w:color w:val="auto"/>
        </w:rPr>
      </w:pPr>
    </w:p>
    <w:p>
      <w:pPr>
        <w:ind w:left="360"/>
        <w:spacing w:after="0"/>
        <w:tabs>
          <w:tab w:leader="none" w:pos="73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u w:val="single" w:color="auto"/>
          <w:color w:val="auto"/>
        </w:rPr>
        <w:t>May 2, 2019</w:t>
      </w:r>
      <w:r>
        <w:rPr>
          <w:sz w:val="20"/>
          <w:szCs w:val="20"/>
          <w:color w:val="auto"/>
        </w:rPr>
        <w:tab/>
      </w:r>
      <w:r>
        <w:rPr>
          <w:rFonts w:ascii="Arial" w:cs="Arial" w:eastAsia="Arial" w:hAnsi="Arial"/>
          <w:sz w:val="15"/>
          <w:szCs w:val="15"/>
          <w:b w:val="1"/>
          <w:bCs w:val="1"/>
          <w:u w:val="single" w:color="auto"/>
          <w:color w:val="auto"/>
        </w:rPr>
        <w:t>/s/ James P. Maloney</w:t>
      </w:r>
    </w:p>
    <w:p>
      <w:pPr>
        <w:spacing w:after="0" w:line="6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James P. Maloney</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(Duly Authorized Officer of Registrant)</w:t>
      </w:r>
    </w:p>
    <w:p>
      <w:pPr>
        <w:sectPr>
          <w:pgSz w:w="11900" w:h="16838" w:orient="portrait"/>
          <w:cols w:equalWidth="0" w:num="1">
            <w:col w:w="11420"/>
          </w:cols>
          <w:pgMar w:left="240" w:top="76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Customer CUSIP 50178DAA0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Revolver Facility CUSIP 50178DAB8</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Term Loan CUSIP 50178DAE2</w:t>
      </w: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$140,000,000 REVOLVING CREDIT FACILITY</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$25,000,000 TERM LOAN FACILITY</w:t>
      </w:r>
    </w:p>
    <w:p>
      <w:pPr>
        <w:spacing w:after="0" w:line="30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THIRD AMENDED AND RESTATED CREDIT AGREEMENT</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by and among</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L.B. FOSTER COMPANY,</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as a Borrower,</w:t>
      </w:r>
    </w:p>
    <w:p>
      <w:pPr>
        <w:spacing w:after="0" w:line="30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THE OTHER BORROWERS PARTY HERETO,</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THE GUARANTORS PARTY HERETO,</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and</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THE LENDERS PARTY HERETO,</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and</w:t>
      </w: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PNC BANK, NATIONAL ASSOCIATION,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as Administrative Agent,</w:t>
      </w: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ind w:right="120"/>
        <w:spacing w:after="0" w:line="269" w:lineRule="auto"/>
        <w:rPr>
          <w:sz w:val="20"/>
          <w:szCs w:val="20"/>
          <w:color w:val="auto"/>
        </w:rPr>
      </w:pPr>
      <w:r>
        <w:rPr>
          <w:rFonts w:ascii="Arial" w:cs="Arial" w:eastAsia="Arial" w:hAnsi="Arial"/>
          <w:sz w:val="22"/>
          <w:szCs w:val="22"/>
          <w:b w:val="1"/>
          <w:bCs w:val="1"/>
          <w:color w:val="auto"/>
        </w:rPr>
        <w:t>BANK OF AMERICA, N.A., CITIZENS BANK, N.A. and WELLS FARGO BANK, NATIONAL ASSOCIATION, as Co-Syndication Agents,</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PNC CAPITAL MARKETS LLC, MERRILL LYNCH PIERCE FENNER &amp; SMITH, INC., CITIZENS BANK, N.A. and</w:t>
      </w:r>
    </w:p>
    <w:p>
      <w:pPr>
        <w:spacing w:after="0" w:line="3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as Joint Lead Arrangers and Joint Bookrunners</w:t>
      </w:r>
    </w:p>
    <w:p>
      <w:pPr>
        <w:spacing w:after="0" w:line="30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Dated as of April 30, 2019</w:t>
      </w:r>
    </w:p>
    <w:p>
      <w:pPr>
        <w:sectPr>
          <w:pgSz w:w="11900" w:h="16838" w:orient="portrait"/>
          <w:cols w:equalWidth="0" w:num="1">
            <w:col w:w="11300"/>
          </w:cols>
          <w:pgMar w:left="36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60" w:type="dxa"/>
            <w:vAlign w:val="bottom"/>
          </w:tcPr>
          <w:p>
            <w:pPr>
              <w:ind w:left="3880"/>
              <w:spacing w:after="0"/>
              <w:rPr>
                <w:sz w:val="20"/>
                <w:szCs w:val="20"/>
                <w:color w:val="auto"/>
              </w:rPr>
            </w:pPr>
            <w:r>
              <w:rPr>
                <w:rFonts w:ascii="Arial" w:cs="Arial" w:eastAsia="Arial" w:hAnsi="Arial"/>
                <w:sz w:val="22"/>
                <w:szCs w:val="22"/>
                <w:b w:val="1"/>
                <w:bCs w:val="1"/>
                <w:color w:val="auto"/>
              </w:rPr>
              <w:t>TABLE OF CONTENTS</w:t>
            </w:r>
          </w:p>
        </w:tc>
        <w:tc>
          <w:tcPr>
            <w:tcW w:w="340" w:type="dxa"/>
            <w:vAlign w:val="bottom"/>
          </w:tcPr>
          <w:p>
            <w:pPr>
              <w:spacing w:after="0"/>
              <w:rPr>
                <w:sz w:val="24"/>
                <w:szCs w:val="24"/>
                <w:color w:val="auto"/>
              </w:rPr>
            </w:pPr>
          </w:p>
        </w:tc>
      </w:tr>
      <w:tr>
        <w:trPr>
          <w:trHeight w:val="783"/>
        </w:trPr>
        <w:tc>
          <w:tcPr>
            <w:tcW w:w="11020" w:type="dxa"/>
            <w:vAlign w:val="bottom"/>
            <w:gridSpan w:val="3"/>
          </w:tcPr>
          <w:p>
            <w:pPr>
              <w:spacing w:after="0"/>
              <w:rPr>
                <w:sz w:val="20"/>
                <w:szCs w:val="20"/>
                <w:color w:val="auto"/>
              </w:rPr>
            </w:pPr>
            <w:r>
              <w:rPr>
                <w:rFonts w:ascii="Arial" w:cs="Arial" w:eastAsia="Arial" w:hAnsi="Arial"/>
                <w:sz w:val="22"/>
                <w:szCs w:val="22"/>
                <w:color w:val="auto"/>
              </w:rPr>
              <w:t>1. CERTAIN DEFINITIONS</w:t>
            </w:r>
          </w:p>
        </w:tc>
        <w:tc>
          <w:tcPr>
            <w:tcW w:w="3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1.1</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Certain Definitions.</w:t>
            </w:r>
          </w:p>
        </w:tc>
        <w:tc>
          <w:tcPr>
            <w:tcW w:w="3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1.2</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Construction.</w:t>
            </w:r>
          </w:p>
        </w:tc>
        <w:tc>
          <w:tcPr>
            <w:tcW w:w="3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1.3</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Accounting Principles; Changes in GAAP.</w:t>
            </w:r>
          </w:p>
        </w:tc>
        <w:tc>
          <w:tcPr>
            <w:tcW w:w="3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1.4</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Currency Calculations.</w:t>
            </w:r>
          </w:p>
        </w:tc>
        <w:tc>
          <w:tcPr>
            <w:tcW w:w="3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1020" w:type="dxa"/>
            <w:vAlign w:val="bottom"/>
            <w:gridSpan w:val="3"/>
          </w:tcPr>
          <w:p>
            <w:pPr>
              <w:spacing w:after="0"/>
              <w:rPr>
                <w:sz w:val="20"/>
                <w:szCs w:val="20"/>
                <w:color w:val="auto"/>
              </w:rPr>
            </w:pPr>
            <w:r>
              <w:rPr>
                <w:rFonts w:ascii="Arial" w:cs="Arial" w:eastAsia="Arial" w:hAnsi="Arial"/>
                <w:sz w:val="22"/>
                <w:szCs w:val="22"/>
                <w:color w:val="auto"/>
              </w:rPr>
              <w:t>2. REVOLVING CREDIT AND SWING LOAN FACILITIES</w:t>
            </w:r>
          </w:p>
        </w:tc>
        <w:tc>
          <w:tcPr>
            <w:tcW w:w="3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2.1</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Revolving Credit Commitments.</w:t>
            </w:r>
          </w:p>
        </w:tc>
        <w:tc>
          <w:tcPr>
            <w:tcW w:w="3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2.1.1</w:t>
            </w:r>
          </w:p>
        </w:tc>
        <w:tc>
          <w:tcPr>
            <w:tcW w:w="10360" w:type="dxa"/>
            <w:vAlign w:val="bottom"/>
          </w:tcPr>
          <w:p>
            <w:pPr>
              <w:ind w:left="40"/>
              <w:spacing w:after="0"/>
              <w:rPr>
                <w:sz w:val="20"/>
                <w:szCs w:val="20"/>
                <w:color w:val="auto"/>
              </w:rPr>
            </w:pPr>
            <w:r>
              <w:rPr>
                <w:rFonts w:ascii="Arial" w:cs="Arial" w:eastAsia="Arial" w:hAnsi="Arial"/>
                <w:sz w:val="22"/>
                <w:szCs w:val="22"/>
                <w:color w:val="auto"/>
              </w:rPr>
              <w:t>Revolving Credit Loans.</w:t>
            </w:r>
          </w:p>
        </w:tc>
        <w:tc>
          <w:tcPr>
            <w:tcW w:w="3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2.1.2</w:t>
            </w:r>
          </w:p>
        </w:tc>
        <w:tc>
          <w:tcPr>
            <w:tcW w:w="10360" w:type="dxa"/>
            <w:vAlign w:val="bottom"/>
          </w:tcPr>
          <w:p>
            <w:pPr>
              <w:ind w:left="40"/>
              <w:spacing w:after="0"/>
              <w:rPr>
                <w:sz w:val="20"/>
                <w:szCs w:val="20"/>
                <w:color w:val="auto"/>
              </w:rPr>
            </w:pPr>
            <w:r>
              <w:rPr>
                <w:rFonts w:ascii="Arial" w:cs="Arial" w:eastAsia="Arial" w:hAnsi="Arial"/>
                <w:sz w:val="22"/>
                <w:szCs w:val="22"/>
                <w:color w:val="auto"/>
              </w:rPr>
              <w:t>Swing Loan Commitment.</w:t>
            </w:r>
          </w:p>
        </w:tc>
        <w:tc>
          <w:tcPr>
            <w:tcW w:w="3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2.1.3</w:t>
            </w:r>
          </w:p>
        </w:tc>
        <w:tc>
          <w:tcPr>
            <w:tcW w:w="10360" w:type="dxa"/>
            <w:vAlign w:val="bottom"/>
          </w:tcPr>
          <w:p>
            <w:pPr>
              <w:ind w:left="40"/>
              <w:spacing w:after="0"/>
              <w:rPr>
                <w:sz w:val="20"/>
                <w:szCs w:val="20"/>
                <w:color w:val="auto"/>
              </w:rPr>
            </w:pPr>
            <w:r>
              <w:rPr>
                <w:rFonts w:ascii="Arial" w:cs="Arial" w:eastAsia="Arial" w:hAnsi="Arial"/>
                <w:sz w:val="22"/>
                <w:szCs w:val="22"/>
                <w:color w:val="auto"/>
              </w:rPr>
              <w:t>Optional Currency Sublimit.</w:t>
            </w:r>
          </w:p>
        </w:tc>
        <w:tc>
          <w:tcPr>
            <w:tcW w:w="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2.1.4</w:t>
            </w:r>
          </w:p>
        </w:tc>
        <w:tc>
          <w:tcPr>
            <w:tcW w:w="10360" w:type="dxa"/>
            <w:vAlign w:val="bottom"/>
          </w:tcPr>
          <w:p>
            <w:pPr>
              <w:ind w:left="40"/>
              <w:spacing w:after="0"/>
              <w:rPr>
                <w:sz w:val="20"/>
                <w:szCs w:val="20"/>
                <w:color w:val="auto"/>
              </w:rPr>
            </w:pPr>
            <w:r>
              <w:rPr>
                <w:rFonts w:ascii="Arial" w:cs="Arial" w:eastAsia="Arial" w:hAnsi="Arial"/>
                <w:sz w:val="22"/>
                <w:szCs w:val="22"/>
                <w:color w:val="auto"/>
              </w:rPr>
              <w:t>Termination or Reduction of Revolving Credit Commitments.</w:t>
            </w:r>
          </w:p>
        </w:tc>
        <w:tc>
          <w:tcPr>
            <w:tcW w:w="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2.2</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Nature of Lenders' Obligations with Respect to Revolving Credit Loans.</w:t>
            </w:r>
          </w:p>
        </w:tc>
        <w:tc>
          <w:tcPr>
            <w:tcW w:w="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2.3</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Commitment Fees.</w:t>
            </w:r>
          </w:p>
        </w:tc>
        <w:tc>
          <w:tcPr>
            <w:tcW w:w="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2.4</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Loan Requests; Swing Loan Requests.</w:t>
            </w:r>
          </w:p>
        </w:tc>
        <w:tc>
          <w:tcPr>
            <w:tcW w:w="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2.4.1</w:t>
            </w:r>
          </w:p>
        </w:tc>
        <w:tc>
          <w:tcPr>
            <w:tcW w:w="10360" w:type="dxa"/>
            <w:vAlign w:val="bottom"/>
          </w:tcPr>
          <w:p>
            <w:pPr>
              <w:ind w:left="40"/>
              <w:spacing w:after="0"/>
              <w:rPr>
                <w:sz w:val="20"/>
                <w:szCs w:val="20"/>
                <w:color w:val="auto"/>
              </w:rPr>
            </w:pPr>
            <w:r>
              <w:rPr>
                <w:rFonts w:ascii="Arial" w:cs="Arial" w:eastAsia="Arial" w:hAnsi="Arial"/>
                <w:sz w:val="22"/>
                <w:szCs w:val="22"/>
                <w:color w:val="auto"/>
              </w:rPr>
              <w:t>Loan Requests.</w:t>
            </w:r>
          </w:p>
        </w:tc>
        <w:tc>
          <w:tcPr>
            <w:tcW w:w="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10360" w:type="dxa"/>
            <w:vAlign w:val="bottom"/>
          </w:tcPr>
          <w:p>
            <w:pPr>
              <w:ind w:left="40"/>
              <w:spacing w:after="0"/>
              <w:rPr>
                <w:sz w:val="20"/>
                <w:szCs w:val="20"/>
                <w:color w:val="auto"/>
              </w:rPr>
            </w:pPr>
            <w:r>
              <w:rPr>
                <w:rFonts w:ascii="Arial" w:cs="Arial" w:eastAsia="Arial" w:hAnsi="Arial"/>
                <w:sz w:val="22"/>
                <w:szCs w:val="22"/>
                <w:color w:val="auto"/>
              </w:rPr>
              <w:t>Swing Loan Requests.</w:t>
            </w:r>
          </w:p>
        </w:tc>
        <w:tc>
          <w:tcPr>
            <w:tcW w:w="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66"/>
        </w:trPr>
        <w:tc>
          <w:tcPr>
            <w:tcW w:w="400" w:type="dxa"/>
            <w:vAlign w:val="bottom"/>
          </w:tcPr>
          <w:p>
            <w:pPr>
              <w:ind w:left="100"/>
              <w:spacing w:after="0"/>
              <w:rPr>
                <w:sz w:val="20"/>
                <w:szCs w:val="20"/>
                <w:color w:val="auto"/>
              </w:rPr>
            </w:pPr>
            <w:r>
              <w:rPr>
                <w:rFonts w:ascii="Arial" w:cs="Arial" w:eastAsia="Arial" w:hAnsi="Arial"/>
                <w:sz w:val="22"/>
                <w:szCs w:val="22"/>
                <w:color w:val="auto"/>
                <w:w w:val="91"/>
              </w:rPr>
              <w:t>2.5</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w w:val="91"/>
              </w:rPr>
              <w:t>Making Revolving Credit Loans and Swing Loans; Presumptions by the Administrative Agent; Repayment of Revolving</w:t>
            </w:r>
          </w:p>
        </w:tc>
        <w:tc>
          <w:tcPr>
            <w:tcW w:w="340" w:type="dxa"/>
            <w:vAlign w:val="bottom"/>
          </w:tcPr>
          <w:p>
            <w:pPr>
              <w:spacing w:after="0"/>
              <w:rPr>
                <w:sz w:val="23"/>
                <w:szCs w:val="23"/>
                <w:color w:val="auto"/>
              </w:rPr>
            </w:pPr>
          </w:p>
        </w:tc>
      </w:tr>
      <w:tr>
        <w:trPr>
          <w:trHeight w:val="275"/>
        </w:trPr>
        <w:tc>
          <w:tcPr>
            <w:tcW w:w="11020" w:type="dxa"/>
            <w:vAlign w:val="bottom"/>
            <w:gridSpan w:val="3"/>
          </w:tcPr>
          <w:p>
            <w:pPr>
              <w:ind w:left="100"/>
              <w:spacing w:after="0"/>
              <w:rPr>
                <w:sz w:val="20"/>
                <w:szCs w:val="20"/>
                <w:color w:val="auto"/>
              </w:rPr>
            </w:pPr>
            <w:r>
              <w:rPr>
                <w:rFonts w:ascii="Arial" w:cs="Arial" w:eastAsia="Arial" w:hAnsi="Arial"/>
                <w:sz w:val="22"/>
                <w:szCs w:val="22"/>
                <w:color w:val="auto"/>
              </w:rPr>
              <w:t>Credit Loans; Borrowings to Repay Swing Loans.</w:t>
            </w:r>
          </w:p>
        </w:tc>
        <w:tc>
          <w:tcPr>
            <w:tcW w:w="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2.5.1</w:t>
            </w:r>
          </w:p>
        </w:tc>
        <w:tc>
          <w:tcPr>
            <w:tcW w:w="10360" w:type="dxa"/>
            <w:vAlign w:val="bottom"/>
          </w:tcPr>
          <w:p>
            <w:pPr>
              <w:ind w:left="40"/>
              <w:spacing w:after="0"/>
              <w:rPr>
                <w:sz w:val="20"/>
                <w:szCs w:val="20"/>
                <w:color w:val="auto"/>
              </w:rPr>
            </w:pPr>
            <w:r>
              <w:rPr>
                <w:rFonts w:ascii="Arial" w:cs="Arial" w:eastAsia="Arial" w:hAnsi="Arial"/>
                <w:sz w:val="22"/>
                <w:szCs w:val="22"/>
                <w:color w:val="auto"/>
              </w:rPr>
              <w:t>Making Revolving Credit Loans.</w:t>
            </w:r>
          </w:p>
        </w:tc>
        <w:tc>
          <w:tcPr>
            <w:tcW w:w="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2.5.2</w:t>
            </w:r>
          </w:p>
        </w:tc>
        <w:tc>
          <w:tcPr>
            <w:tcW w:w="10360" w:type="dxa"/>
            <w:vAlign w:val="bottom"/>
          </w:tcPr>
          <w:p>
            <w:pPr>
              <w:ind w:left="40"/>
              <w:spacing w:after="0"/>
              <w:rPr>
                <w:sz w:val="20"/>
                <w:szCs w:val="20"/>
                <w:color w:val="auto"/>
              </w:rPr>
            </w:pPr>
            <w:r>
              <w:rPr>
                <w:rFonts w:ascii="Arial" w:cs="Arial" w:eastAsia="Arial" w:hAnsi="Arial"/>
                <w:sz w:val="22"/>
                <w:szCs w:val="22"/>
                <w:color w:val="auto"/>
              </w:rPr>
              <w:t>Presumptions by the Administrative Agent.</w:t>
            </w:r>
          </w:p>
        </w:tc>
        <w:tc>
          <w:tcPr>
            <w:tcW w:w="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2.5.3</w:t>
            </w:r>
          </w:p>
        </w:tc>
        <w:tc>
          <w:tcPr>
            <w:tcW w:w="10360" w:type="dxa"/>
            <w:vAlign w:val="bottom"/>
          </w:tcPr>
          <w:p>
            <w:pPr>
              <w:ind w:left="40"/>
              <w:spacing w:after="0"/>
              <w:rPr>
                <w:sz w:val="20"/>
                <w:szCs w:val="20"/>
                <w:color w:val="auto"/>
              </w:rPr>
            </w:pPr>
            <w:r>
              <w:rPr>
                <w:rFonts w:ascii="Arial" w:cs="Arial" w:eastAsia="Arial" w:hAnsi="Arial"/>
                <w:sz w:val="22"/>
                <w:szCs w:val="22"/>
                <w:color w:val="auto"/>
              </w:rPr>
              <w:t>Making Swing Loans.</w:t>
            </w:r>
          </w:p>
        </w:tc>
        <w:tc>
          <w:tcPr>
            <w:tcW w:w="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2.5.4</w:t>
            </w:r>
          </w:p>
        </w:tc>
        <w:tc>
          <w:tcPr>
            <w:tcW w:w="10360" w:type="dxa"/>
            <w:vAlign w:val="bottom"/>
          </w:tcPr>
          <w:p>
            <w:pPr>
              <w:ind w:left="40"/>
              <w:spacing w:after="0"/>
              <w:rPr>
                <w:sz w:val="20"/>
                <w:szCs w:val="20"/>
                <w:color w:val="auto"/>
              </w:rPr>
            </w:pPr>
            <w:r>
              <w:rPr>
                <w:rFonts w:ascii="Arial" w:cs="Arial" w:eastAsia="Arial" w:hAnsi="Arial"/>
                <w:sz w:val="22"/>
                <w:szCs w:val="22"/>
                <w:color w:val="auto"/>
              </w:rPr>
              <w:t>Repayment of Revolving Credit Loans.</w:t>
            </w:r>
          </w:p>
        </w:tc>
        <w:tc>
          <w:tcPr>
            <w:tcW w:w="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2.5.5</w:t>
            </w:r>
          </w:p>
        </w:tc>
        <w:tc>
          <w:tcPr>
            <w:tcW w:w="10360" w:type="dxa"/>
            <w:vAlign w:val="bottom"/>
          </w:tcPr>
          <w:p>
            <w:pPr>
              <w:ind w:left="40"/>
              <w:spacing w:after="0"/>
              <w:rPr>
                <w:sz w:val="20"/>
                <w:szCs w:val="20"/>
                <w:color w:val="auto"/>
              </w:rPr>
            </w:pPr>
            <w:r>
              <w:rPr>
                <w:rFonts w:ascii="Arial" w:cs="Arial" w:eastAsia="Arial" w:hAnsi="Arial"/>
                <w:sz w:val="22"/>
                <w:szCs w:val="22"/>
                <w:color w:val="auto"/>
              </w:rPr>
              <w:t>Borrowings to Repay Swing Loans.</w:t>
            </w:r>
          </w:p>
        </w:tc>
        <w:tc>
          <w:tcPr>
            <w:tcW w:w="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2.5.6</w:t>
            </w:r>
          </w:p>
        </w:tc>
        <w:tc>
          <w:tcPr>
            <w:tcW w:w="10360" w:type="dxa"/>
            <w:vAlign w:val="bottom"/>
          </w:tcPr>
          <w:p>
            <w:pPr>
              <w:ind w:left="40"/>
              <w:spacing w:after="0"/>
              <w:rPr>
                <w:sz w:val="20"/>
                <w:szCs w:val="20"/>
                <w:color w:val="auto"/>
              </w:rPr>
            </w:pPr>
            <w:r>
              <w:rPr>
                <w:rFonts w:ascii="Arial" w:cs="Arial" w:eastAsia="Arial" w:hAnsi="Arial"/>
                <w:sz w:val="22"/>
                <w:szCs w:val="22"/>
                <w:color w:val="auto"/>
              </w:rPr>
              <w:t>Swing Loans Under Cash Management Agreements.</w:t>
            </w:r>
          </w:p>
        </w:tc>
        <w:tc>
          <w:tcPr>
            <w:tcW w:w="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2.6</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Notes.</w:t>
            </w:r>
          </w:p>
        </w:tc>
        <w:tc>
          <w:tcPr>
            <w:tcW w:w="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2.7</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Use of Proceeds.</w:t>
            </w:r>
          </w:p>
        </w:tc>
        <w:tc>
          <w:tcPr>
            <w:tcW w:w="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2.8</w:t>
            </w:r>
          </w:p>
        </w:tc>
        <w:tc>
          <w:tcPr>
            <w:tcW w:w="10620" w:type="dxa"/>
            <w:vAlign w:val="bottom"/>
            <w:gridSpan w:val="2"/>
          </w:tcPr>
          <w:p>
            <w:pPr>
              <w:ind w:left="20"/>
              <w:spacing w:after="0"/>
              <w:rPr>
                <w:sz w:val="20"/>
                <w:szCs w:val="20"/>
                <w:color w:val="auto"/>
              </w:rPr>
            </w:pPr>
            <w:r>
              <w:rPr>
                <w:rFonts w:ascii="Arial" w:cs="Arial" w:eastAsia="Arial" w:hAnsi="Arial"/>
                <w:sz w:val="22"/>
                <w:szCs w:val="22"/>
                <w:color w:val="auto"/>
              </w:rPr>
              <w:t>Letter of Credit Subfacility.</w:t>
            </w:r>
          </w:p>
        </w:tc>
        <w:tc>
          <w:tcPr>
            <w:tcW w:w="3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2.8.1</w:t>
            </w:r>
          </w:p>
        </w:tc>
        <w:tc>
          <w:tcPr>
            <w:tcW w:w="10360" w:type="dxa"/>
            <w:vAlign w:val="bottom"/>
          </w:tcPr>
          <w:p>
            <w:pPr>
              <w:ind w:left="40"/>
              <w:spacing w:after="0"/>
              <w:rPr>
                <w:sz w:val="20"/>
                <w:szCs w:val="20"/>
                <w:color w:val="auto"/>
              </w:rPr>
            </w:pPr>
            <w:r>
              <w:rPr>
                <w:rFonts w:ascii="Arial" w:cs="Arial" w:eastAsia="Arial" w:hAnsi="Arial"/>
                <w:sz w:val="22"/>
                <w:szCs w:val="22"/>
                <w:color w:val="auto"/>
              </w:rPr>
              <w:t>Issuance of Letters of Credit.</w:t>
            </w:r>
          </w:p>
        </w:tc>
        <w:tc>
          <w:tcPr>
            <w:tcW w:w="3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2.8.2</w:t>
            </w:r>
          </w:p>
        </w:tc>
        <w:tc>
          <w:tcPr>
            <w:tcW w:w="10360" w:type="dxa"/>
            <w:vAlign w:val="bottom"/>
          </w:tcPr>
          <w:p>
            <w:pPr>
              <w:ind w:left="40"/>
              <w:spacing w:after="0"/>
              <w:rPr>
                <w:sz w:val="20"/>
                <w:szCs w:val="20"/>
                <w:color w:val="auto"/>
              </w:rPr>
            </w:pPr>
            <w:r>
              <w:rPr>
                <w:rFonts w:ascii="Arial" w:cs="Arial" w:eastAsia="Arial" w:hAnsi="Arial"/>
                <w:sz w:val="22"/>
                <w:szCs w:val="22"/>
                <w:color w:val="auto"/>
              </w:rPr>
              <w:t>Letter of Credit Fees.</w:t>
            </w:r>
          </w:p>
        </w:tc>
        <w:tc>
          <w:tcPr>
            <w:tcW w:w="3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2.8.3</w:t>
            </w:r>
          </w:p>
        </w:tc>
        <w:tc>
          <w:tcPr>
            <w:tcW w:w="10360" w:type="dxa"/>
            <w:vAlign w:val="bottom"/>
          </w:tcPr>
          <w:p>
            <w:pPr>
              <w:ind w:left="40"/>
              <w:spacing w:after="0"/>
              <w:rPr>
                <w:sz w:val="20"/>
                <w:szCs w:val="20"/>
                <w:color w:val="auto"/>
              </w:rPr>
            </w:pPr>
            <w:r>
              <w:rPr>
                <w:rFonts w:ascii="Arial" w:cs="Arial" w:eastAsia="Arial" w:hAnsi="Arial"/>
                <w:sz w:val="22"/>
                <w:szCs w:val="22"/>
                <w:color w:val="auto"/>
              </w:rPr>
              <w:t>Disbursements, Reimbursement.</w:t>
            </w:r>
          </w:p>
        </w:tc>
        <w:tc>
          <w:tcPr>
            <w:tcW w:w="3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2.8.4</w:t>
            </w:r>
          </w:p>
        </w:tc>
        <w:tc>
          <w:tcPr>
            <w:tcW w:w="10360" w:type="dxa"/>
            <w:vAlign w:val="bottom"/>
          </w:tcPr>
          <w:p>
            <w:pPr>
              <w:ind w:left="40"/>
              <w:spacing w:after="0"/>
              <w:rPr>
                <w:sz w:val="20"/>
                <w:szCs w:val="20"/>
                <w:color w:val="auto"/>
              </w:rPr>
            </w:pPr>
            <w:r>
              <w:rPr>
                <w:rFonts w:ascii="Arial" w:cs="Arial" w:eastAsia="Arial" w:hAnsi="Arial"/>
                <w:sz w:val="22"/>
                <w:szCs w:val="22"/>
                <w:color w:val="auto"/>
              </w:rPr>
              <w:t>Repayment of Participation Advances.</w:t>
            </w:r>
          </w:p>
        </w:tc>
        <w:tc>
          <w:tcPr>
            <w:tcW w:w="3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2.8.5</w:t>
            </w:r>
          </w:p>
        </w:tc>
        <w:tc>
          <w:tcPr>
            <w:tcW w:w="10360" w:type="dxa"/>
            <w:vAlign w:val="bottom"/>
          </w:tcPr>
          <w:p>
            <w:pPr>
              <w:ind w:left="40"/>
              <w:spacing w:after="0"/>
              <w:rPr>
                <w:sz w:val="20"/>
                <w:szCs w:val="20"/>
                <w:color w:val="auto"/>
              </w:rPr>
            </w:pPr>
            <w:r>
              <w:rPr>
                <w:rFonts w:ascii="Arial" w:cs="Arial" w:eastAsia="Arial" w:hAnsi="Arial"/>
                <w:sz w:val="22"/>
                <w:szCs w:val="22"/>
                <w:color w:val="auto"/>
              </w:rPr>
              <w:t>Documentation.</w:t>
            </w:r>
          </w:p>
        </w:tc>
        <w:tc>
          <w:tcPr>
            <w:tcW w:w="3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2.8.6</w:t>
            </w:r>
          </w:p>
        </w:tc>
        <w:tc>
          <w:tcPr>
            <w:tcW w:w="10360" w:type="dxa"/>
            <w:vAlign w:val="bottom"/>
          </w:tcPr>
          <w:p>
            <w:pPr>
              <w:ind w:left="40"/>
              <w:spacing w:after="0"/>
              <w:rPr>
                <w:sz w:val="20"/>
                <w:szCs w:val="20"/>
                <w:color w:val="auto"/>
              </w:rPr>
            </w:pPr>
            <w:r>
              <w:rPr>
                <w:rFonts w:ascii="Arial" w:cs="Arial" w:eastAsia="Arial" w:hAnsi="Arial"/>
                <w:sz w:val="22"/>
                <w:szCs w:val="22"/>
                <w:color w:val="auto"/>
              </w:rPr>
              <w:t>Determinations to Honor Drawing Requests.</w:t>
            </w:r>
          </w:p>
        </w:tc>
        <w:tc>
          <w:tcPr>
            <w:tcW w:w="3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2.8.7</w:t>
            </w:r>
          </w:p>
        </w:tc>
        <w:tc>
          <w:tcPr>
            <w:tcW w:w="10360" w:type="dxa"/>
            <w:vAlign w:val="bottom"/>
          </w:tcPr>
          <w:p>
            <w:pPr>
              <w:ind w:left="40"/>
              <w:spacing w:after="0"/>
              <w:rPr>
                <w:sz w:val="20"/>
                <w:szCs w:val="20"/>
                <w:color w:val="auto"/>
              </w:rPr>
            </w:pPr>
            <w:r>
              <w:rPr>
                <w:rFonts w:ascii="Arial" w:cs="Arial" w:eastAsia="Arial" w:hAnsi="Arial"/>
                <w:sz w:val="22"/>
                <w:szCs w:val="22"/>
                <w:color w:val="auto"/>
              </w:rPr>
              <w:t>Nature of Participation and Reimbursement Obligations.</w:t>
            </w:r>
          </w:p>
        </w:tc>
        <w:tc>
          <w:tcPr>
            <w:tcW w:w="3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660" w:type="dxa"/>
            <w:vAlign w:val="bottom"/>
            <w:gridSpan w:val="2"/>
          </w:tcPr>
          <w:p>
            <w:pPr>
              <w:jc w:val="right"/>
              <w:spacing w:after="0"/>
              <w:rPr>
                <w:sz w:val="20"/>
                <w:szCs w:val="20"/>
                <w:color w:val="auto"/>
              </w:rPr>
            </w:pPr>
            <w:r>
              <w:rPr>
                <w:rFonts w:ascii="Arial" w:cs="Arial" w:eastAsia="Arial" w:hAnsi="Arial"/>
                <w:sz w:val="22"/>
                <w:szCs w:val="22"/>
                <w:color w:val="auto"/>
              </w:rPr>
              <w:t>2.8.8</w:t>
            </w:r>
          </w:p>
        </w:tc>
        <w:tc>
          <w:tcPr>
            <w:tcW w:w="10360" w:type="dxa"/>
            <w:vAlign w:val="bottom"/>
          </w:tcPr>
          <w:p>
            <w:pPr>
              <w:ind w:left="40"/>
              <w:spacing w:after="0"/>
              <w:rPr>
                <w:sz w:val="20"/>
                <w:szCs w:val="20"/>
                <w:color w:val="auto"/>
              </w:rPr>
            </w:pPr>
            <w:r>
              <w:rPr>
                <w:rFonts w:ascii="Arial" w:cs="Arial" w:eastAsia="Arial" w:hAnsi="Arial"/>
                <w:sz w:val="22"/>
                <w:szCs w:val="22"/>
                <w:color w:val="auto"/>
              </w:rPr>
              <w:t>Indemnity.</w:t>
            </w:r>
          </w:p>
        </w:tc>
        <w:tc>
          <w:tcPr>
            <w:tcW w:w="34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200" w:lineRule="exact"/>
        <w:rPr>
          <w:sz w:val="20"/>
          <w:szCs w:val="20"/>
          <w:color w:val="auto"/>
        </w:rPr>
      </w:pPr>
    </w:p>
    <w:p>
      <w:pPr>
        <w:sectPr>
          <w:pgSz w:w="11900" w:h="16838" w:orient="portrait"/>
          <w:cols w:equalWidth="0" w:num="1">
            <w:col w:w="11360"/>
          </w:cols>
          <w:pgMar w:left="260" w:top="142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60"/>
          </w:cols>
          <w:pgMar w:left="260" w:top="1422" w:right="279" w:bottom="1440" w:gutter="0" w:footer="0" w:header="0"/>
          <w:type w:val="continuous"/>
        </w:sectPr>
      </w:pPr>
    </w:p>
    <w:bookmarkStart w:id="6" w:name="page7"/>
    <w:bookmarkEnd w:id="6"/>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2.8.9</w:t>
            </w:r>
          </w:p>
        </w:tc>
        <w:tc>
          <w:tcPr>
            <w:tcW w:w="10440" w:type="dxa"/>
            <w:vAlign w:val="bottom"/>
          </w:tcPr>
          <w:p>
            <w:pPr>
              <w:ind w:left="40"/>
              <w:spacing w:after="0"/>
              <w:rPr>
                <w:sz w:val="20"/>
                <w:szCs w:val="20"/>
                <w:color w:val="auto"/>
              </w:rPr>
            </w:pPr>
            <w:r>
              <w:rPr>
                <w:rFonts w:ascii="Arial" w:cs="Arial" w:eastAsia="Arial" w:hAnsi="Arial"/>
                <w:sz w:val="22"/>
                <w:szCs w:val="22"/>
                <w:color w:val="auto"/>
              </w:rPr>
              <w:t>Liability for Acts and Omissions.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49</w:t>
            </w:r>
          </w:p>
        </w:tc>
      </w:tr>
      <w:tr>
        <w:trPr>
          <w:trHeight w:val="297"/>
        </w:trPr>
        <w:tc>
          <w:tcPr>
            <w:tcW w:w="11100" w:type="dxa"/>
            <w:vAlign w:val="bottom"/>
            <w:gridSpan w:val="3"/>
          </w:tcPr>
          <w:p>
            <w:pPr>
              <w:ind w:left="200"/>
              <w:spacing w:after="0"/>
              <w:rPr>
                <w:sz w:val="20"/>
                <w:szCs w:val="20"/>
                <w:color w:val="auto"/>
              </w:rPr>
            </w:pPr>
            <w:r>
              <w:rPr>
                <w:rFonts w:ascii="Arial" w:cs="Arial" w:eastAsia="Arial" w:hAnsi="Arial"/>
                <w:sz w:val="22"/>
                <w:szCs w:val="22"/>
                <w:color w:val="auto"/>
              </w:rPr>
              <w:t>2.8.10 Issuing Lender Reporting Requirements.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2.9</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Utilization of Commitments in Optional Currencies.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r>
      <w:tr>
        <w:trPr>
          <w:trHeight w:val="266"/>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2.9.1</w:t>
            </w:r>
          </w:p>
        </w:tc>
        <w:tc>
          <w:tcPr>
            <w:tcW w:w="10440" w:type="dxa"/>
            <w:vAlign w:val="bottom"/>
          </w:tcPr>
          <w:p>
            <w:pPr>
              <w:ind w:left="40"/>
              <w:spacing w:after="0"/>
              <w:rPr>
                <w:sz w:val="20"/>
                <w:szCs w:val="20"/>
                <w:color w:val="auto"/>
              </w:rPr>
            </w:pPr>
            <w:r>
              <w:rPr>
                <w:rFonts w:ascii="Arial" w:cs="Arial" w:eastAsia="Arial" w:hAnsi="Arial"/>
                <w:sz w:val="22"/>
                <w:szCs w:val="22"/>
                <w:color w:val="auto"/>
                <w:w w:val="90"/>
              </w:rPr>
              <w:t>Periodic Computations of Dollar Equivalent Amounts of Revolving Credit Loans that are Optional Currency Loans and</w:t>
            </w:r>
          </w:p>
        </w:tc>
        <w:tc>
          <w:tcPr>
            <w:tcW w:w="260" w:type="dxa"/>
            <w:vAlign w:val="bottom"/>
          </w:tcPr>
          <w:p>
            <w:pPr>
              <w:spacing w:after="0"/>
              <w:rPr>
                <w:sz w:val="23"/>
                <w:szCs w:val="23"/>
                <w:color w:val="auto"/>
              </w:rPr>
            </w:pPr>
          </w:p>
        </w:tc>
      </w:tr>
      <w:tr>
        <w:trPr>
          <w:trHeight w:val="275"/>
        </w:trPr>
        <w:tc>
          <w:tcPr>
            <w:tcW w:w="11100" w:type="dxa"/>
            <w:vAlign w:val="bottom"/>
            <w:gridSpan w:val="3"/>
          </w:tcPr>
          <w:p>
            <w:pPr>
              <w:ind w:left="200"/>
              <w:spacing w:after="0"/>
              <w:rPr>
                <w:sz w:val="20"/>
                <w:szCs w:val="20"/>
                <w:color w:val="auto"/>
              </w:rPr>
            </w:pPr>
            <w:r>
              <w:rPr>
                <w:rFonts w:ascii="Arial" w:cs="Arial" w:eastAsia="Arial" w:hAnsi="Arial"/>
                <w:sz w:val="22"/>
                <w:szCs w:val="22"/>
                <w:color w:val="auto"/>
              </w:rPr>
              <w:t>Letters of Credit Outstanding; Repayment in Same Currency.</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2.9.2</w:t>
            </w:r>
          </w:p>
        </w:tc>
        <w:tc>
          <w:tcPr>
            <w:tcW w:w="10440" w:type="dxa"/>
            <w:vAlign w:val="bottom"/>
          </w:tcPr>
          <w:p>
            <w:pPr>
              <w:ind w:left="40"/>
              <w:spacing w:after="0"/>
              <w:rPr>
                <w:sz w:val="20"/>
                <w:szCs w:val="20"/>
                <w:color w:val="auto"/>
              </w:rPr>
            </w:pPr>
            <w:r>
              <w:rPr>
                <w:rFonts w:ascii="Arial" w:cs="Arial" w:eastAsia="Arial" w:hAnsi="Arial"/>
                <w:sz w:val="22"/>
                <w:szCs w:val="22"/>
                <w:color w:val="auto"/>
              </w:rPr>
              <w:t>Notices From Lenders That Optional Currencies Are Unavailable to Fund New Loans.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2.9.3</w:t>
            </w:r>
          </w:p>
        </w:tc>
        <w:tc>
          <w:tcPr>
            <w:tcW w:w="10440" w:type="dxa"/>
            <w:vAlign w:val="bottom"/>
          </w:tcPr>
          <w:p>
            <w:pPr>
              <w:ind w:left="40"/>
              <w:spacing w:after="0"/>
              <w:rPr>
                <w:sz w:val="20"/>
                <w:szCs w:val="20"/>
                <w:color w:val="auto"/>
              </w:rPr>
            </w:pPr>
            <w:r>
              <w:rPr>
                <w:rFonts w:ascii="Arial" w:cs="Arial" w:eastAsia="Arial" w:hAnsi="Arial"/>
                <w:sz w:val="22"/>
                <w:szCs w:val="22"/>
                <w:color w:val="auto"/>
                <w:w w:val="98"/>
              </w:rPr>
              <w:t>Notices From Lenders That Optional Currencies Are Unavailable to Fund Renewals of the Euro-Rate Option.</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51</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2.9.4</w:t>
            </w:r>
          </w:p>
        </w:tc>
        <w:tc>
          <w:tcPr>
            <w:tcW w:w="10440" w:type="dxa"/>
            <w:vAlign w:val="bottom"/>
          </w:tcPr>
          <w:p>
            <w:pPr>
              <w:ind w:left="40"/>
              <w:spacing w:after="0"/>
              <w:rPr>
                <w:sz w:val="20"/>
                <w:szCs w:val="20"/>
                <w:color w:val="auto"/>
              </w:rPr>
            </w:pPr>
            <w:r>
              <w:rPr>
                <w:rFonts w:ascii="Arial" w:cs="Arial" w:eastAsia="Arial" w:hAnsi="Arial"/>
                <w:sz w:val="22"/>
                <w:szCs w:val="22"/>
                <w:color w:val="auto"/>
              </w:rPr>
              <w:t>European Monetary Union.</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52</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2.9.5</w:t>
            </w:r>
          </w:p>
        </w:tc>
        <w:tc>
          <w:tcPr>
            <w:tcW w:w="10440" w:type="dxa"/>
            <w:vAlign w:val="bottom"/>
          </w:tcPr>
          <w:p>
            <w:pPr>
              <w:ind w:left="40"/>
              <w:spacing w:after="0"/>
              <w:rPr>
                <w:sz w:val="20"/>
                <w:szCs w:val="20"/>
                <w:color w:val="auto"/>
              </w:rPr>
            </w:pPr>
            <w:r>
              <w:rPr>
                <w:rFonts w:ascii="Arial" w:cs="Arial" w:eastAsia="Arial" w:hAnsi="Arial"/>
                <w:sz w:val="22"/>
                <w:szCs w:val="22"/>
                <w:color w:val="auto"/>
              </w:rPr>
              <w:t>Requests for Additional Optional Currencies.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53</w:t>
            </w:r>
          </w:p>
        </w:tc>
      </w:tr>
      <w:tr>
        <w:trPr>
          <w:trHeight w:val="297"/>
        </w:trPr>
        <w:tc>
          <w:tcPr>
            <w:tcW w:w="11100" w:type="dxa"/>
            <w:vAlign w:val="bottom"/>
            <w:gridSpan w:val="3"/>
          </w:tcPr>
          <w:p>
            <w:pPr>
              <w:ind w:left="100"/>
              <w:spacing w:after="0"/>
              <w:rPr>
                <w:sz w:val="20"/>
                <w:szCs w:val="20"/>
                <w:color w:val="auto"/>
              </w:rPr>
            </w:pPr>
            <w:r>
              <w:rPr>
                <w:rFonts w:ascii="Arial" w:cs="Arial" w:eastAsia="Arial" w:hAnsi="Arial"/>
                <w:sz w:val="22"/>
                <w:szCs w:val="22"/>
                <w:color w:val="auto"/>
              </w:rPr>
              <w:t>2.10 Defaulting Lenders.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53</w:t>
            </w:r>
          </w:p>
        </w:tc>
      </w:tr>
      <w:tr>
        <w:trPr>
          <w:trHeight w:val="297"/>
        </w:trPr>
        <w:tc>
          <w:tcPr>
            <w:tcW w:w="11100" w:type="dxa"/>
            <w:vAlign w:val="bottom"/>
            <w:gridSpan w:val="3"/>
          </w:tcPr>
          <w:p>
            <w:pPr>
              <w:ind w:left="100"/>
              <w:spacing w:after="0"/>
              <w:rPr>
                <w:sz w:val="20"/>
                <w:szCs w:val="20"/>
                <w:color w:val="auto"/>
              </w:rPr>
            </w:pPr>
            <w:r>
              <w:rPr>
                <w:rFonts w:ascii="Arial" w:cs="Arial" w:eastAsia="Arial" w:hAnsi="Arial"/>
                <w:sz w:val="22"/>
                <w:szCs w:val="22"/>
                <w:color w:val="auto"/>
              </w:rPr>
              <w:t>2.11 Provisions Applicable to All Loans.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55</w:t>
            </w:r>
          </w:p>
        </w:tc>
      </w:tr>
      <w:tr>
        <w:trPr>
          <w:trHeight w:val="297"/>
        </w:trPr>
        <w:tc>
          <w:tcPr>
            <w:tcW w:w="11100" w:type="dxa"/>
            <w:vAlign w:val="bottom"/>
            <w:gridSpan w:val="3"/>
          </w:tcPr>
          <w:p>
            <w:pPr>
              <w:ind w:left="200"/>
              <w:spacing w:after="0"/>
              <w:rPr>
                <w:sz w:val="20"/>
                <w:szCs w:val="20"/>
                <w:color w:val="auto"/>
              </w:rPr>
            </w:pPr>
            <w:r>
              <w:rPr>
                <w:rFonts w:ascii="Arial" w:cs="Arial" w:eastAsia="Arial" w:hAnsi="Arial"/>
                <w:sz w:val="22"/>
                <w:szCs w:val="22"/>
                <w:color w:val="auto"/>
              </w:rPr>
              <w:t>2.11.1 Notes.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55</w:t>
            </w:r>
          </w:p>
        </w:tc>
      </w:tr>
      <w:tr>
        <w:trPr>
          <w:trHeight w:val="297"/>
        </w:trPr>
        <w:tc>
          <w:tcPr>
            <w:tcW w:w="11100" w:type="dxa"/>
            <w:vAlign w:val="bottom"/>
            <w:gridSpan w:val="3"/>
          </w:tcPr>
          <w:p>
            <w:pPr>
              <w:ind w:left="200"/>
              <w:spacing w:after="0"/>
              <w:rPr>
                <w:sz w:val="20"/>
                <w:szCs w:val="20"/>
                <w:color w:val="auto"/>
              </w:rPr>
            </w:pPr>
            <w:r>
              <w:rPr>
                <w:rFonts w:ascii="Arial" w:cs="Arial" w:eastAsia="Arial" w:hAnsi="Arial"/>
                <w:sz w:val="22"/>
                <w:szCs w:val="22"/>
                <w:color w:val="auto"/>
              </w:rPr>
              <w:t>2.11.2 Joint and Several Obligations.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55</w:t>
            </w:r>
          </w:p>
        </w:tc>
      </w:tr>
      <w:tr>
        <w:trPr>
          <w:trHeight w:val="297"/>
        </w:trPr>
        <w:tc>
          <w:tcPr>
            <w:tcW w:w="11100" w:type="dxa"/>
            <w:vAlign w:val="bottom"/>
            <w:gridSpan w:val="3"/>
          </w:tcPr>
          <w:p>
            <w:pPr>
              <w:spacing w:after="0"/>
              <w:rPr>
                <w:sz w:val="20"/>
                <w:szCs w:val="20"/>
                <w:color w:val="auto"/>
              </w:rPr>
            </w:pPr>
            <w:r>
              <w:rPr>
                <w:rFonts w:ascii="Arial" w:cs="Arial" w:eastAsia="Arial" w:hAnsi="Arial"/>
                <w:sz w:val="22"/>
                <w:szCs w:val="22"/>
                <w:color w:val="auto"/>
              </w:rPr>
              <w:t>3. TERM LOANS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55</w:t>
            </w:r>
          </w:p>
        </w:tc>
      </w:tr>
      <w:tr>
        <w:trPr>
          <w:trHeight w:val="297"/>
        </w:trPr>
        <w:tc>
          <w:tcPr>
            <w:tcW w:w="11100" w:type="dxa"/>
            <w:vAlign w:val="bottom"/>
            <w:gridSpan w:val="3"/>
          </w:tcPr>
          <w:p>
            <w:pPr>
              <w:spacing w:after="0"/>
              <w:rPr>
                <w:sz w:val="20"/>
                <w:szCs w:val="20"/>
                <w:color w:val="auto"/>
              </w:rPr>
            </w:pPr>
            <w:r>
              <w:rPr>
                <w:rFonts w:ascii="Arial" w:cs="Arial" w:eastAsia="Arial" w:hAnsi="Arial"/>
                <w:sz w:val="22"/>
                <w:szCs w:val="22"/>
                <w:color w:val="auto"/>
              </w:rPr>
              <w:t>4. INTEREST RATES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56</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4.1</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Interest Rate Options.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56</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4.1.1</w:t>
            </w:r>
          </w:p>
        </w:tc>
        <w:tc>
          <w:tcPr>
            <w:tcW w:w="10440" w:type="dxa"/>
            <w:vAlign w:val="bottom"/>
          </w:tcPr>
          <w:p>
            <w:pPr>
              <w:ind w:left="40"/>
              <w:spacing w:after="0"/>
              <w:rPr>
                <w:sz w:val="20"/>
                <w:szCs w:val="20"/>
                <w:color w:val="auto"/>
              </w:rPr>
            </w:pPr>
            <w:r>
              <w:rPr>
                <w:rFonts w:ascii="Arial" w:cs="Arial" w:eastAsia="Arial" w:hAnsi="Arial"/>
                <w:sz w:val="22"/>
                <w:szCs w:val="22"/>
                <w:color w:val="auto"/>
              </w:rPr>
              <w:t>Revolving Credit Interest Rate Options; Swing Line Interest Rate.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56</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4.1.2</w:t>
            </w:r>
          </w:p>
        </w:tc>
        <w:tc>
          <w:tcPr>
            <w:tcW w:w="10440" w:type="dxa"/>
            <w:vAlign w:val="bottom"/>
          </w:tcPr>
          <w:p>
            <w:pPr>
              <w:ind w:left="40"/>
              <w:spacing w:after="0"/>
              <w:rPr>
                <w:sz w:val="20"/>
                <w:szCs w:val="20"/>
                <w:color w:val="auto"/>
              </w:rPr>
            </w:pPr>
            <w:r>
              <w:rPr>
                <w:rFonts w:ascii="Arial" w:cs="Arial" w:eastAsia="Arial" w:hAnsi="Arial"/>
                <w:sz w:val="22"/>
                <w:szCs w:val="22"/>
                <w:color w:val="auto"/>
              </w:rPr>
              <w:t>Swing Loan Interest Rate Options.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57</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4.1.3</w:t>
            </w:r>
          </w:p>
        </w:tc>
        <w:tc>
          <w:tcPr>
            <w:tcW w:w="10440" w:type="dxa"/>
            <w:vAlign w:val="bottom"/>
          </w:tcPr>
          <w:p>
            <w:pPr>
              <w:ind w:left="40"/>
              <w:spacing w:after="0"/>
              <w:rPr>
                <w:sz w:val="20"/>
                <w:szCs w:val="20"/>
                <w:color w:val="auto"/>
              </w:rPr>
            </w:pPr>
            <w:r>
              <w:rPr>
                <w:rFonts w:ascii="Arial" w:cs="Arial" w:eastAsia="Arial" w:hAnsi="Arial"/>
                <w:sz w:val="22"/>
                <w:szCs w:val="22"/>
                <w:color w:val="auto"/>
              </w:rPr>
              <w:t>Rate Quotations.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57</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4.1.4</w:t>
            </w:r>
          </w:p>
        </w:tc>
        <w:tc>
          <w:tcPr>
            <w:tcW w:w="10440" w:type="dxa"/>
            <w:vAlign w:val="bottom"/>
          </w:tcPr>
          <w:p>
            <w:pPr>
              <w:ind w:left="40"/>
              <w:spacing w:after="0"/>
              <w:rPr>
                <w:sz w:val="20"/>
                <w:szCs w:val="20"/>
                <w:color w:val="auto"/>
              </w:rPr>
            </w:pPr>
            <w:r>
              <w:rPr>
                <w:rFonts w:ascii="Arial" w:cs="Arial" w:eastAsia="Arial" w:hAnsi="Arial"/>
                <w:sz w:val="22"/>
                <w:szCs w:val="22"/>
                <w:color w:val="auto"/>
              </w:rPr>
              <w:t>Term Loan Interest Rate Options.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57</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4.2</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Interest Periods.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57</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4.2.1</w:t>
            </w:r>
          </w:p>
        </w:tc>
        <w:tc>
          <w:tcPr>
            <w:tcW w:w="10440" w:type="dxa"/>
            <w:vAlign w:val="bottom"/>
          </w:tcPr>
          <w:p>
            <w:pPr>
              <w:ind w:left="40"/>
              <w:spacing w:after="0"/>
              <w:rPr>
                <w:sz w:val="20"/>
                <w:szCs w:val="20"/>
                <w:color w:val="auto"/>
              </w:rPr>
            </w:pPr>
            <w:r>
              <w:rPr>
                <w:rFonts w:ascii="Arial" w:cs="Arial" w:eastAsia="Arial" w:hAnsi="Arial"/>
                <w:sz w:val="22"/>
                <w:szCs w:val="22"/>
                <w:color w:val="auto"/>
              </w:rPr>
              <w:t>Amount of Borrowing Tranche.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57</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4.2.2</w:t>
            </w:r>
          </w:p>
        </w:tc>
        <w:tc>
          <w:tcPr>
            <w:tcW w:w="10440" w:type="dxa"/>
            <w:vAlign w:val="bottom"/>
          </w:tcPr>
          <w:p>
            <w:pPr>
              <w:ind w:left="40"/>
              <w:spacing w:after="0"/>
              <w:rPr>
                <w:sz w:val="20"/>
                <w:szCs w:val="20"/>
                <w:color w:val="auto"/>
              </w:rPr>
            </w:pPr>
            <w:r>
              <w:rPr>
                <w:rFonts w:ascii="Arial" w:cs="Arial" w:eastAsia="Arial" w:hAnsi="Arial"/>
                <w:sz w:val="22"/>
                <w:szCs w:val="22"/>
                <w:color w:val="auto"/>
              </w:rPr>
              <w:t>Renewals.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4.3</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Interest After Default.</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4.3.1</w:t>
            </w:r>
          </w:p>
        </w:tc>
        <w:tc>
          <w:tcPr>
            <w:tcW w:w="10440" w:type="dxa"/>
            <w:vAlign w:val="bottom"/>
          </w:tcPr>
          <w:p>
            <w:pPr>
              <w:ind w:left="40"/>
              <w:spacing w:after="0"/>
              <w:rPr>
                <w:sz w:val="20"/>
                <w:szCs w:val="20"/>
                <w:color w:val="auto"/>
              </w:rPr>
            </w:pPr>
            <w:r>
              <w:rPr>
                <w:rFonts w:ascii="Arial" w:cs="Arial" w:eastAsia="Arial" w:hAnsi="Arial"/>
                <w:sz w:val="22"/>
                <w:szCs w:val="22"/>
                <w:color w:val="auto"/>
              </w:rPr>
              <w:t>Letter of Credit Fees, Interest Rate.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4.3.2</w:t>
            </w:r>
          </w:p>
        </w:tc>
        <w:tc>
          <w:tcPr>
            <w:tcW w:w="10440" w:type="dxa"/>
            <w:vAlign w:val="bottom"/>
          </w:tcPr>
          <w:p>
            <w:pPr>
              <w:ind w:left="40"/>
              <w:spacing w:after="0"/>
              <w:rPr>
                <w:sz w:val="20"/>
                <w:szCs w:val="20"/>
                <w:color w:val="auto"/>
              </w:rPr>
            </w:pPr>
            <w:r>
              <w:rPr>
                <w:rFonts w:ascii="Arial" w:cs="Arial" w:eastAsia="Arial" w:hAnsi="Arial"/>
                <w:sz w:val="22"/>
                <w:szCs w:val="22"/>
                <w:color w:val="auto"/>
              </w:rPr>
              <w:t>Other Obligations.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4.3.3</w:t>
            </w:r>
          </w:p>
        </w:tc>
        <w:tc>
          <w:tcPr>
            <w:tcW w:w="10440" w:type="dxa"/>
            <w:vAlign w:val="bottom"/>
          </w:tcPr>
          <w:p>
            <w:pPr>
              <w:ind w:left="40"/>
              <w:spacing w:after="0"/>
              <w:rPr>
                <w:sz w:val="20"/>
                <w:szCs w:val="20"/>
                <w:color w:val="auto"/>
              </w:rPr>
            </w:pPr>
            <w:r>
              <w:rPr>
                <w:rFonts w:ascii="Arial" w:cs="Arial" w:eastAsia="Arial" w:hAnsi="Arial"/>
                <w:sz w:val="22"/>
                <w:szCs w:val="22"/>
                <w:color w:val="auto"/>
              </w:rPr>
              <w:t>Acknowledgment.</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4.4</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Euro-Rate Unascertainable; Illegality; Increased Costs; Deposits Not Available.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4.4.1</w:t>
            </w:r>
          </w:p>
        </w:tc>
        <w:tc>
          <w:tcPr>
            <w:tcW w:w="10440" w:type="dxa"/>
            <w:vAlign w:val="bottom"/>
          </w:tcPr>
          <w:p>
            <w:pPr>
              <w:ind w:left="40"/>
              <w:spacing w:after="0"/>
              <w:rPr>
                <w:sz w:val="20"/>
                <w:szCs w:val="20"/>
                <w:color w:val="auto"/>
              </w:rPr>
            </w:pPr>
            <w:r>
              <w:rPr>
                <w:rFonts w:ascii="Arial" w:cs="Arial" w:eastAsia="Arial" w:hAnsi="Arial"/>
                <w:sz w:val="22"/>
                <w:szCs w:val="22"/>
                <w:color w:val="auto"/>
              </w:rPr>
              <w:t>Unascertainable.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4.4.2</w:t>
            </w:r>
          </w:p>
        </w:tc>
        <w:tc>
          <w:tcPr>
            <w:tcW w:w="10440" w:type="dxa"/>
            <w:vAlign w:val="bottom"/>
          </w:tcPr>
          <w:p>
            <w:pPr>
              <w:ind w:left="40"/>
              <w:spacing w:after="0"/>
              <w:rPr>
                <w:sz w:val="20"/>
                <w:szCs w:val="20"/>
                <w:color w:val="auto"/>
              </w:rPr>
            </w:pPr>
            <w:r>
              <w:rPr>
                <w:rFonts w:ascii="Arial" w:cs="Arial" w:eastAsia="Arial" w:hAnsi="Arial"/>
                <w:sz w:val="22"/>
                <w:szCs w:val="22"/>
                <w:color w:val="auto"/>
              </w:rPr>
              <w:t>Illegality; Increased Costs; Deposits Not Available.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4.4.3</w:t>
            </w:r>
          </w:p>
        </w:tc>
        <w:tc>
          <w:tcPr>
            <w:tcW w:w="10440" w:type="dxa"/>
            <w:vAlign w:val="bottom"/>
          </w:tcPr>
          <w:p>
            <w:pPr>
              <w:ind w:left="40"/>
              <w:spacing w:after="0"/>
              <w:rPr>
                <w:sz w:val="20"/>
                <w:szCs w:val="20"/>
                <w:color w:val="auto"/>
              </w:rPr>
            </w:pPr>
            <w:r>
              <w:rPr>
                <w:rFonts w:ascii="Arial" w:cs="Arial" w:eastAsia="Arial" w:hAnsi="Arial"/>
                <w:sz w:val="22"/>
                <w:szCs w:val="22"/>
                <w:color w:val="auto"/>
              </w:rPr>
              <w:t>Administrative Agent's and Lender's Rights.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59</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4.5</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Selection of Interest Rate Options.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59</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4.6</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Interest Act (Canada) Disclosure.</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59</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4.7</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Canadian Usury Provision.</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60</w:t>
            </w:r>
          </w:p>
        </w:tc>
      </w:tr>
      <w:tr>
        <w:trPr>
          <w:trHeight w:val="297"/>
        </w:trPr>
        <w:tc>
          <w:tcPr>
            <w:tcW w:w="400" w:type="dxa"/>
            <w:vAlign w:val="bottom"/>
          </w:tcPr>
          <w:p>
            <w:pPr>
              <w:ind w:left="100"/>
              <w:spacing w:after="0"/>
              <w:rPr>
                <w:sz w:val="20"/>
                <w:szCs w:val="20"/>
                <w:color w:val="auto"/>
              </w:rPr>
            </w:pPr>
            <w:r>
              <w:rPr>
                <w:rFonts w:ascii="Arial" w:cs="Arial" w:eastAsia="Arial" w:hAnsi="Arial"/>
                <w:sz w:val="22"/>
                <w:szCs w:val="22"/>
                <w:color w:val="auto"/>
                <w:w w:val="91"/>
              </w:rPr>
              <w:t>4.8</w:t>
            </w:r>
          </w:p>
        </w:tc>
        <w:tc>
          <w:tcPr>
            <w:tcW w:w="10700" w:type="dxa"/>
            <w:vAlign w:val="bottom"/>
            <w:gridSpan w:val="2"/>
          </w:tcPr>
          <w:p>
            <w:pPr>
              <w:ind w:left="20"/>
              <w:spacing w:after="0"/>
              <w:rPr>
                <w:sz w:val="20"/>
                <w:szCs w:val="20"/>
                <w:color w:val="auto"/>
              </w:rPr>
            </w:pPr>
            <w:r>
              <w:rPr>
                <w:rFonts w:ascii="Arial" w:cs="Arial" w:eastAsia="Arial" w:hAnsi="Arial"/>
                <w:sz w:val="22"/>
                <w:szCs w:val="22"/>
                <w:color w:val="auto"/>
              </w:rPr>
              <w:t>Successor Euro-Rate Index.</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60</w:t>
            </w:r>
          </w:p>
        </w:tc>
      </w:tr>
      <w:tr>
        <w:trPr>
          <w:trHeight w:val="297"/>
        </w:trPr>
        <w:tc>
          <w:tcPr>
            <w:tcW w:w="11100" w:type="dxa"/>
            <w:vAlign w:val="bottom"/>
            <w:gridSpan w:val="3"/>
          </w:tcPr>
          <w:p>
            <w:pPr>
              <w:spacing w:after="0"/>
              <w:rPr>
                <w:sz w:val="20"/>
                <w:szCs w:val="20"/>
                <w:color w:val="auto"/>
              </w:rPr>
            </w:pPr>
            <w:r>
              <w:rPr>
                <w:rFonts w:ascii="Arial" w:cs="Arial" w:eastAsia="Arial" w:hAnsi="Arial"/>
                <w:sz w:val="22"/>
                <w:szCs w:val="22"/>
                <w:color w:val="auto"/>
              </w:rPr>
              <w:t>5. PAYMENTS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60"/>
          </w:cols>
          <w:pgMar w:left="260" w:top="1440" w:right="279" w:bottom="1440" w:gutter="0" w:footer="0" w:header="0"/>
        </w:sectPr>
      </w:pPr>
    </w:p>
    <w:bookmarkStart w:id="7" w:name="page8"/>
    <w:bookmarkEnd w:id="7"/>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spacing w:after="0"/>
              <w:rPr>
                <w:sz w:val="20"/>
                <w:szCs w:val="20"/>
                <w:color w:val="auto"/>
              </w:rPr>
            </w:pPr>
            <w:r>
              <w:rPr>
                <w:rFonts w:ascii="Arial" w:cs="Arial" w:eastAsia="Arial" w:hAnsi="Arial"/>
                <w:sz w:val="22"/>
                <w:szCs w:val="22"/>
                <w:color w:val="auto"/>
                <w:w w:val="91"/>
              </w:rPr>
              <w:t>5.1</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5.2</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Pro Rata Treatment of Lenders.</w:t>
            </w:r>
          </w:p>
        </w:tc>
        <w:tc>
          <w:tcPr>
            <w:tcW w:w="13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5.3</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Sharing of Payments by Lenders.</w:t>
            </w:r>
          </w:p>
        </w:tc>
        <w:tc>
          <w:tcPr>
            <w:tcW w:w="13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5.4</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Presumptions by Administrative Agent.</w:t>
            </w:r>
          </w:p>
        </w:tc>
        <w:tc>
          <w:tcPr>
            <w:tcW w:w="13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5.5</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Interest Payment Dates.</w:t>
            </w:r>
          </w:p>
        </w:tc>
        <w:tc>
          <w:tcPr>
            <w:tcW w:w="13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5.6</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Voluntary Prepayments.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5.6.1</w:t>
            </w:r>
          </w:p>
        </w:tc>
        <w:tc>
          <w:tcPr>
            <w:tcW w:w="9320" w:type="dxa"/>
            <w:vAlign w:val="bottom"/>
          </w:tcPr>
          <w:p>
            <w:pPr>
              <w:ind w:left="40"/>
              <w:spacing w:after="0"/>
              <w:rPr>
                <w:sz w:val="20"/>
                <w:szCs w:val="20"/>
                <w:color w:val="auto"/>
              </w:rPr>
            </w:pPr>
            <w:r>
              <w:rPr>
                <w:rFonts w:ascii="Arial" w:cs="Arial" w:eastAsia="Arial" w:hAnsi="Arial"/>
                <w:sz w:val="22"/>
                <w:szCs w:val="22"/>
                <w:color w:val="auto"/>
              </w:rPr>
              <w:t>Right to Prepay.</w:t>
            </w:r>
          </w:p>
        </w:tc>
        <w:tc>
          <w:tcPr>
            <w:tcW w:w="13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5.6.2</w:t>
            </w:r>
          </w:p>
        </w:tc>
        <w:tc>
          <w:tcPr>
            <w:tcW w:w="9320" w:type="dxa"/>
            <w:vAlign w:val="bottom"/>
          </w:tcPr>
          <w:p>
            <w:pPr>
              <w:ind w:left="40"/>
              <w:spacing w:after="0"/>
              <w:rPr>
                <w:sz w:val="20"/>
                <w:szCs w:val="20"/>
                <w:color w:val="auto"/>
              </w:rPr>
            </w:pPr>
            <w:r>
              <w:rPr>
                <w:rFonts w:ascii="Arial" w:cs="Arial" w:eastAsia="Arial" w:hAnsi="Arial"/>
                <w:sz w:val="22"/>
                <w:szCs w:val="22"/>
                <w:color w:val="auto"/>
              </w:rPr>
              <w:t>Replacement of a Lender.</w:t>
            </w:r>
          </w:p>
        </w:tc>
        <w:tc>
          <w:tcPr>
            <w:tcW w:w="13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5.6.3</w:t>
            </w:r>
          </w:p>
        </w:tc>
        <w:tc>
          <w:tcPr>
            <w:tcW w:w="9320" w:type="dxa"/>
            <w:vAlign w:val="bottom"/>
          </w:tcPr>
          <w:p>
            <w:pPr>
              <w:ind w:left="40"/>
              <w:spacing w:after="0"/>
              <w:rPr>
                <w:sz w:val="20"/>
                <w:szCs w:val="20"/>
                <w:color w:val="auto"/>
              </w:rPr>
            </w:pPr>
            <w:r>
              <w:rPr>
                <w:rFonts w:ascii="Arial" w:cs="Arial" w:eastAsia="Arial" w:hAnsi="Arial"/>
                <w:sz w:val="22"/>
                <w:szCs w:val="22"/>
                <w:color w:val="auto"/>
              </w:rPr>
              <w:t>Designation of a Different Lending Office.</w:t>
            </w:r>
          </w:p>
        </w:tc>
        <w:tc>
          <w:tcPr>
            <w:tcW w:w="13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5.7</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Mandatory Prepayments.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5.7.1</w:t>
            </w:r>
          </w:p>
        </w:tc>
        <w:tc>
          <w:tcPr>
            <w:tcW w:w="9320" w:type="dxa"/>
            <w:vAlign w:val="bottom"/>
          </w:tcPr>
          <w:p>
            <w:pPr>
              <w:ind w:left="40"/>
              <w:spacing w:after="0"/>
              <w:rPr>
                <w:sz w:val="20"/>
                <w:szCs w:val="20"/>
                <w:color w:val="auto"/>
              </w:rPr>
            </w:pPr>
            <w:r>
              <w:rPr>
                <w:rFonts w:ascii="Arial" w:cs="Arial" w:eastAsia="Arial" w:hAnsi="Arial"/>
                <w:sz w:val="22"/>
                <w:szCs w:val="22"/>
                <w:color w:val="auto"/>
              </w:rPr>
              <w:t>Revolving Facility Usage exceeds Revolving Credit Commitments.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5.7.2</w:t>
            </w:r>
          </w:p>
        </w:tc>
        <w:tc>
          <w:tcPr>
            <w:tcW w:w="9320" w:type="dxa"/>
            <w:vAlign w:val="bottom"/>
          </w:tcPr>
          <w:p>
            <w:pPr>
              <w:ind w:left="40"/>
              <w:spacing w:after="0"/>
              <w:rPr>
                <w:sz w:val="20"/>
                <w:szCs w:val="20"/>
                <w:color w:val="auto"/>
              </w:rPr>
            </w:pPr>
            <w:r>
              <w:rPr>
                <w:rFonts w:ascii="Arial" w:cs="Arial" w:eastAsia="Arial" w:hAnsi="Arial"/>
                <w:sz w:val="22"/>
                <w:szCs w:val="22"/>
                <w:color w:val="auto"/>
              </w:rPr>
              <w:t>Application Among Interest Rate Options.</w:t>
            </w:r>
          </w:p>
        </w:tc>
        <w:tc>
          <w:tcPr>
            <w:tcW w:w="13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5.7.3</w:t>
            </w:r>
          </w:p>
        </w:tc>
        <w:tc>
          <w:tcPr>
            <w:tcW w:w="9320" w:type="dxa"/>
            <w:vAlign w:val="bottom"/>
          </w:tcPr>
          <w:p>
            <w:pPr>
              <w:ind w:left="40"/>
              <w:spacing w:after="0"/>
              <w:rPr>
                <w:sz w:val="20"/>
                <w:szCs w:val="20"/>
                <w:color w:val="auto"/>
              </w:rPr>
            </w:pPr>
            <w:r>
              <w:rPr>
                <w:rFonts w:ascii="Arial" w:cs="Arial" w:eastAsia="Arial" w:hAnsi="Arial"/>
                <w:sz w:val="22"/>
                <w:szCs w:val="22"/>
                <w:color w:val="auto"/>
              </w:rPr>
              <w:t>Cash Collateralization.</w:t>
            </w:r>
          </w:p>
        </w:tc>
        <w:tc>
          <w:tcPr>
            <w:tcW w:w="13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5.7.4</w:t>
            </w:r>
          </w:p>
        </w:tc>
        <w:tc>
          <w:tcPr>
            <w:tcW w:w="9320" w:type="dxa"/>
            <w:vAlign w:val="bottom"/>
          </w:tcPr>
          <w:p>
            <w:pPr>
              <w:ind w:left="40"/>
              <w:spacing w:after="0"/>
              <w:rPr>
                <w:sz w:val="20"/>
                <w:szCs w:val="20"/>
                <w:color w:val="auto"/>
              </w:rPr>
            </w:pPr>
            <w:r>
              <w:rPr>
                <w:rFonts w:ascii="Arial" w:cs="Arial" w:eastAsia="Arial" w:hAnsi="Arial"/>
                <w:sz w:val="22"/>
                <w:szCs w:val="22"/>
                <w:color w:val="auto"/>
              </w:rPr>
              <w:t>Application of Prepayments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5.7.5</w:t>
            </w:r>
          </w:p>
        </w:tc>
        <w:tc>
          <w:tcPr>
            <w:tcW w:w="9320" w:type="dxa"/>
            <w:vAlign w:val="bottom"/>
          </w:tcPr>
          <w:p>
            <w:pPr>
              <w:ind w:left="40"/>
              <w:spacing w:after="0"/>
              <w:rPr>
                <w:sz w:val="20"/>
                <w:szCs w:val="20"/>
                <w:color w:val="auto"/>
              </w:rPr>
            </w:pPr>
            <w:r>
              <w:rPr>
                <w:rFonts w:ascii="Arial" w:cs="Arial" w:eastAsia="Arial" w:hAnsi="Arial"/>
                <w:sz w:val="22"/>
                <w:szCs w:val="22"/>
                <w:color w:val="auto"/>
              </w:rPr>
              <w:t>No Deemed Cure</w:t>
            </w:r>
          </w:p>
        </w:tc>
        <w:tc>
          <w:tcPr>
            <w:tcW w:w="13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5.8</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Increased Costs.</w:t>
            </w:r>
          </w:p>
        </w:tc>
        <w:tc>
          <w:tcPr>
            <w:tcW w:w="13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5.8.1</w:t>
            </w:r>
          </w:p>
        </w:tc>
        <w:tc>
          <w:tcPr>
            <w:tcW w:w="9320" w:type="dxa"/>
            <w:vAlign w:val="bottom"/>
          </w:tcPr>
          <w:p>
            <w:pPr>
              <w:ind w:left="40"/>
              <w:spacing w:after="0"/>
              <w:rPr>
                <w:sz w:val="20"/>
                <w:szCs w:val="20"/>
                <w:color w:val="auto"/>
              </w:rPr>
            </w:pPr>
            <w:r>
              <w:rPr>
                <w:rFonts w:ascii="Arial" w:cs="Arial" w:eastAsia="Arial" w:hAnsi="Arial"/>
                <w:sz w:val="22"/>
                <w:szCs w:val="22"/>
                <w:color w:val="auto"/>
              </w:rPr>
              <w:t>Increased Costs Generally.</w:t>
            </w:r>
          </w:p>
        </w:tc>
        <w:tc>
          <w:tcPr>
            <w:tcW w:w="13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5.8.2</w:t>
            </w:r>
          </w:p>
        </w:tc>
        <w:tc>
          <w:tcPr>
            <w:tcW w:w="9320" w:type="dxa"/>
            <w:vAlign w:val="bottom"/>
          </w:tcPr>
          <w:p>
            <w:pPr>
              <w:ind w:left="40"/>
              <w:spacing w:after="0"/>
              <w:rPr>
                <w:sz w:val="20"/>
                <w:szCs w:val="20"/>
                <w:color w:val="auto"/>
              </w:rPr>
            </w:pPr>
            <w:r>
              <w:rPr>
                <w:rFonts w:ascii="Arial" w:cs="Arial" w:eastAsia="Arial" w:hAnsi="Arial"/>
                <w:sz w:val="22"/>
                <w:szCs w:val="22"/>
                <w:color w:val="auto"/>
              </w:rPr>
              <w:t>Capital Requirements.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5.8.3</w:t>
            </w:r>
          </w:p>
        </w:tc>
        <w:tc>
          <w:tcPr>
            <w:tcW w:w="9320" w:type="dxa"/>
            <w:vAlign w:val="bottom"/>
          </w:tcPr>
          <w:p>
            <w:pPr>
              <w:ind w:left="40"/>
              <w:spacing w:after="0"/>
              <w:rPr>
                <w:sz w:val="20"/>
                <w:szCs w:val="20"/>
                <w:color w:val="auto"/>
              </w:rPr>
            </w:pPr>
            <w:r>
              <w:rPr>
                <w:rFonts w:ascii="Arial" w:cs="Arial" w:eastAsia="Arial" w:hAnsi="Arial"/>
                <w:sz w:val="22"/>
                <w:szCs w:val="22"/>
                <w:color w:val="auto"/>
              </w:rPr>
              <w:t>Certificates for Reimbursement; Repayment of Outstanding Loans; Borrowing of New Loans.</w:t>
            </w:r>
          </w:p>
        </w:tc>
        <w:tc>
          <w:tcPr>
            <w:tcW w:w="13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5.8.4</w:t>
            </w:r>
          </w:p>
        </w:tc>
        <w:tc>
          <w:tcPr>
            <w:tcW w:w="9320" w:type="dxa"/>
            <w:vAlign w:val="bottom"/>
          </w:tcPr>
          <w:p>
            <w:pPr>
              <w:ind w:left="40"/>
              <w:spacing w:after="0"/>
              <w:rPr>
                <w:sz w:val="20"/>
                <w:szCs w:val="20"/>
                <w:color w:val="auto"/>
              </w:rPr>
            </w:pPr>
            <w:r>
              <w:rPr>
                <w:rFonts w:ascii="Arial" w:cs="Arial" w:eastAsia="Arial" w:hAnsi="Arial"/>
                <w:sz w:val="22"/>
                <w:szCs w:val="22"/>
                <w:color w:val="auto"/>
              </w:rPr>
              <w:t>Delay in Requests.</w:t>
            </w:r>
          </w:p>
        </w:tc>
        <w:tc>
          <w:tcPr>
            <w:tcW w:w="13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5.8.5</w:t>
            </w:r>
          </w:p>
        </w:tc>
        <w:tc>
          <w:tcPr>
            <w:tcW w:w="9320" w:type="dxa"/>
            <w:vAlign w:val="bottom"/>
          </w:tcPr>
          <w:p>
            <w:pPr>
              <w:ind w:left="40"/>
              <w:spacing w:after="0"/>
              <w:rPr>
                <w:sz w:val="20"/>
                <w:szCs w:val="20"/>
                <w:color w:val="auto"/>
              </w:rPr>
            </w:pPr>
            <w:r>
              <w:rPr>
                <w:rFonts w:ascii="Arial" w:cs="Arial" w:eastAsia="Arial" w:hAnsi="Arial"/>
                <w:sz w:val="22"/>
                <w:szCs w:val="22"/>
                <w:color w:val="auto"/>
              </w:rPr>
              <w:t>Additional Reserve Requirements.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5.9</w:t>
            </w:r>
          </w:p>
        </w:tc>
        <w:tc>
          <w:tcPr>
            <w:tcW w:w="9580" w:type="dxa"/>
            <w:vAlign w:val="bottom"/>
            <w:gridSpan w:val="2"/>
          </w:tcPr>
          <w:p>
            <w:pPr>
              <w:ind w:left="20"/>
              <w:spacing w:after="0"/>
              <w:rPr>
                <w:sz w:val="20"/>
                <w:szCs w:val="20"/>
                <w:color w:val="auto"/>
              </w:rPr>
            </w:pPr>
            <w:r>
              <w:rPr>
                <w:rFonts w:ascii="Arial" w:cs="Arial" w:eastAsia="Arial" w:hAnsi="Arial"/>
                <w:sz w:val="22"/>
                <w:szCs w:val="22"/>
                <w:color w:val="auto"/>
              </w:rPr>
              <w:t>Taxes.</w:t>
            </w:r>
          </w:p>
        </w:tc>
        <w:tc>
          <w:tcPr>
            <w:tcW w:w="13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5.9.1</w:t>
            </w:r>
          </w:p>
        </w:tc>
        <w:tc>
          <w:tcPr>
            <w:tcW w:w="9320" w:type="dxa"/>
            <w:vAlign w:val="bottom"/>
          </w:tcPr>
          <w:p>
            <w:pPr>
              <w:ind w:left="40"/>
              <w:spacing w:after="0"/>
              <w:rPr>
                <w:sz w:val="20"/>
                <w:szCs w:val="20"/>
                <w:color w:val="auto"/>
              </w:rPr>
            </w:pPr>
            <w:r>
              <w:rPr>
                <w:rFonts w:ascii="Arial" w:cs="Arial" w:eastAsia="Arial" w:hAnsi="Arial"/>
                <w:sz w:val="22"/>
                <w:szCs w:val="22"/>
                <w:color w:val="auto"/>
              </w:rPr>
              <w:t>Issuing Lender.</w:t>
            </w:r>
          </w:p>
        </w:tc>
        <w:tc>
          <w:tcPr>
            <w:tcW w:w="13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5.9.2</w:t>
            </w:r>
          </w:p>
        </w:tc>
        <w:tc>
          <w:tcPr>
            <w:tcW w:w="9320" w:type="dxa"/>
            <w:vAlign w:val="bottom"/>
          </w:tcPr>
          <w:p>
            <w:pPr>
              <w:ind w:left="40"/>
              <w:spacing w:after="0"/>
              <w:rPr>
                <w:sz w:val="20"/>
                <w:szCs w:val="20"/>
                <w:color w:val="auto"/>
              </w:rPr>
            </w:pPr>
            <w:r>
              <w:rPr>
                <w:rFonts w:ascii="Arial" w:cs="Arial" w:eastAsia="Arial" w:hAnsi="Arial"/>
                <w:sz w:val="22"/>
                <w:szCs w:val="22"/>
                <w:color w:val="auto"/>
              </w:rPr>
              <w:t>Payments Free of Taxes.</w:t>
            </w:r>
          </w:p>
        </w:tc>
        <w:tc>
          <w:tcPr>
            <w:tcW w:w="13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5.9.3</w:t>
            </w:r>
          </w:p>
        </w:tc>
        <w:tc>
          <w:tcPr>
            <w:tcW w:w="9320" w:type="dxa"/>
            <w:vAlign w:val="bottom"/>
          </w:tcPr>
          <w:p>
            <w:pPr>
              <w:ind w:left="40"/>
              <w:spacing w:after="0"/>
              <w:rPr>
                <w:sz w:val="20"/>
                <w:szCs w:val="20"/>
                <w:color w:val="auto"/>
              </w:rPr>
            </w:pPr>
            <w:r>
              <w:rPr>
                <w:rFonts w:ascii="Arial" w:cs="Arial" w:eastAsia="Arial" w:hAnsi="Arial"/>
                <w:sz w:val="22"/>
                <w:szCs w:val="22"/>
                <w:color w:val="auto"/>
              </w:rPr>
              <w:t>Payment of Other Taxes by the Loan Parties.</w:t>
            </w:r>
          </w:p>
        </w:tc>
        <w:tc>
          <w:tcPr>
            <w:tcW w:w="13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5.9.4</w:t>
            </w:r>
          </w:p>
        </w:tc>
        <w:tc>
          <w:tcPr>
            <w:tcW w:w="9320" w:type="dxa"/>
            <w:vAlign w:val="bottom"/>
          </w:tcPr>
          <w:p>
            <w:pPr>
              <w:ind w:left="40"/>
              <w:spacing w:after="0"/>
              <w:rPr>
                <w:sz w:val="20"/>
                <w:szCs w:val="20"/>
                <w:color w:val="auto"/>
              </w:rPr>
            </w:pPr>
            <w:r>
              <w:rPr>
                <w:rFonts w:ascii="Arial" w:cs="Arial" w:eastAsia="Arial" w:hAnsi="Arial"/>
                <w:sz w:val="22"/>
                <w:szCs w:val="22"/>
                <w:color w:val="auto"/>
              </w:rPr>
              <w:t>Indemnification by the Loan Parties.</w:t>
            </w:r>
          </w:p>
        </w:tc>
        <w:tc>
          <w:tcPr>
            <w:tcW w:w="13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5.9.5</w:t>
            </w:r>
          </w:p>
        </w:tc>
        <w:tc>
          <w:tcPr>
            <w:tcW w:w="9320" w:type="dxa"/>
            <w:vAlign w:val="bottom"/>
          </w:tcPr>
          <w:p>
            <w:pPr>
              <w:ind w:left="40"/>
              <w:spacing w:after="0"/>
              <w:rPr>
                <w:sz w:val="20"/>
                <w:szCs w:val="20"/>
                <w:color w:val="auto"/>
              </w:rPr>
            </w:pPr>
            <w:r>
              <w:rPr>
                <w:rFonts w:ascii="Arial" w:cs="Arial" w:eastAsia="Arial" w:hAnsi="Arial"/>
                <w:sz w:val="22"/>
                <w:szCs w:val="22"/>
                <w:color w:val="auto"/>
              </w:rPr>
              <w:t>Indemnification by the Lenders.</w:t>
            </w:r>
          </w:p>
        </w:tc>
        <w:tc>
          <w:tcPr>
            <w:tcW w:w="13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5.9.6</w:t>
            </w:r>
          </w:p>
        </w:tc>
        <w:tc>
          <w:tcPr>
            <w:tcW w:w="9320" w:type="dxa"/>
            <w:vAlign w:val="bottom"/>
          </w:tcPr>
          <w:p>
            <w:pPr>
              <w:ind w:left="40"/>
              <w:spacing w:after="0"/>
              <w:rPr>
                <w:sz w:val="20"/>
                <w:szCs w:val="20"/>
                <w:color w:val="auto"/>
              </w:rPr>
            </w:pPr>
            <w:r>
              <w:rPr>
                <w:rFonts w:ascii="Arial" w:cs="Arial" w:eastAsia="Arial" w:hAnsi="Arial"/>
                <w:sz w:val="22"/>
                <w:szCs w:val="22"/>
                <w:color w:val="auto"/>
              </w:rPr>
              <w:t>Evidence of 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5.9.7</w:t>
            </w:r>
          </w:p>
        </w:tc>
        <w:tc>
          <w:tcPr>
            <w:tcW w:w="9320" w:type="dxa"/>
            <w:vAlign w:val="bottom"/>
          </w:tcPr>
          <w:p>
            <w:pPr>
              <w:ind w:left="40"/>
              <w:spacing w:after="0"/>
              <w:rPr>
                <w:sz w:val="20"/>
                <w:szCs w:val="20"/>
                <w:color w:val="auto"/>
              </w:rPr>
            </w:pPr>
            <w:r>
              <w:rPr>
                <w:rFonts w:ascii="Arial" w:cs="Arial" w:eastAsia="Arial" w:hAnsi="Arial"/>
                <w:sz w:val="22"/>
                <w:szCs w:val="22"/>
                <w:color w:val="auto"/>
              </w:rPr>
              <w:t>Status of Lenders.</w:t>
            </w:r>
          </w:p>
        </w:tc>
        <w:tc>
          <w:tcPr>
            <w:tcW w:w="13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5.9.8</w:t>
            </w:r>
          </w:p>
        </w:tc>
        <w:tc>
          <w:tcPr>
            <w:tcW w:w="9320" w:type="dxa"/>
            <w:vAlign w:val="bottom"/>
          </w:tcPr>
          <w:p>
            <w:pPr>
              <w:ind w:left="40"/>
              <w:spacing w:after="0"/>
              <w:rPr>
                <w:sz w:val="20"/>
                <w:szCs w:val="20"/>
                <w:color w:val="auto"/>
              </w:rPr>
            </w:pPr>
            <w:r>
              <w:rPr>
                <w:rFonts w:ascii="Arial" w:cs="Arial" w:eastAsia="Arial" w:hAnsi="Arial"/>
                <w:sz w:val="22"/>
                <w:szCs w:val="22"/>
                <w:color w:val="auto"/>
              </w:rPr>
              <w:t>Treatment of Certain Refunds.</w:t>
            </w:r>
          </w:p>
        </w:tc>
        <w:tc>
          <w:tcPr>
            <w:tcW w:w="13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560" w:type="dxa"/>
            <w:vAlign w:val="bottom"/>
            <w:gridSpan w:val="2"/>
          </w:tcPr>
          <w:p>
            <w:pPr>
              <w:ind w:left="100"/>
              <w:spacing w:after="0"/>
              <w:rPr>
                <w:sz w:val="20"/>
                <w:szCs w:val="20"/>
                <w:color w:val="auto"/>
              </w:rPr>
            </w:pPr>
            <w:r>
              <w:rPr>
                <w:rFonts w:ascii="Arial" w:cs="Arial" w:eastAsia="Arial" w:hAnsi="Arial"/>
                <w:sz w:val="22"/>
                <w:szCs w:val="22"/>
                <w:color w:val="auto"/>
                <w:w w:val="89"/>
              </w:rPr>
              <w:t>5.9.9</w:t>
            </w:r>
          </w:p>
        </w:tc>
        <w:tc>
          <w:tcPr>
            <w:tcW w:w="9320" w:type="dxa"/>
            <w:vAlign w:val="bottom"/>
          </w:tcPr>
          <w:p>
            <w:pPr>
              <w:ind w:left="40"/>
              <w:spacing w:after="0"/>
              <w:rPr>
                <w:sz w:val="20"/>
                <w:szCs w:val="20"/>
                <w:color w:val="auto"/>
              </w:rPr>
            </w:pPr>
            <w:r>
              <w:rPr>
                <w:rFonts w:ascii="Arial" w:cs="Arial" w:eastAsia="Arial" w:hAnsi="Arial"/>
                <w:sz w:val="22"/>
                <w:szCs w:val="22"/>
                <w:color w:val="auto"/>
              </w:rPr>
              <w:t>Survival.</w:t>
            </w:r>
          </w:p>
        </w:tc>
        <w:tc>
          <w:tcPr>
            <w:tcW w:w="13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9880" w:type="dxa"/>
            <w:vAlign w:val="bottom"/>
            <w:gridSpan w:val="3"/>
          </w:tcPr>
          <w:p>
            <w:pPr>
              <w:ind w:left="100"/>
              <w:spacing w:after="0"/>
              <w:rPr>
                <w:sz w:val="20"/>
                <w:szCs w:val="20"/>
                <w:color w:val="auto"/>
              </w:rPr>
            </w:pPr>
            <w:r>
              <w:rPr>
                <w:rFonts w:ascii="Arial" w:cs="Arial" w:eastAsia="Arial" w:hAnsi="Arial"/>
                <w:sz w:val="22"/>
                <w:szCs w:val="22"/>
                <w:color w:val="auto"/>
              </w:rPr>
              <w:t>5.9.10 Tax Gross Up and Indemnities for UK Borrowers.</w:t>
            </w:r>
          </w:p>
        </w:tc>
        <w:tc>
          <w:tcPr>
            <w:tcW w:w="13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9880" w:type="dxa"/>
            <w:vAlign w:val="bottom"/>
            <w:gridSpan w:val="3"/>
          </w:tcPr>
          <w:p>
            <w:pPr>
              <w:spacing w:after="0"/>
              <w:rPr>
                <w:sz w:val="20"/>
                <w:szCs w:val="20"/>
                <w:color w:val="auto"/>
              </w:rPr>
            </w:pPr>
            <w:r>
              <w:rPr>
                <w:rFonts w:ascii="Arial" w:cs="Arial" w:eastAsia="Arial" w:hAnsi="Arial"/>
                <w:sz w:val="22"/>
                <w:szCs w:val="22"/>
                <w:color w:val="auto"/>
              </w:rPr>
              <w:t>5.10 Indemnity.</w:t>
            </w:r>
          </w:p>
        </w:tc>
        <w:tc>
          <w:tcPr>
            <w:tcW w:w="13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9880" w:type="dxa"/>
            <w:vAlign w:val="bottom"/>
            <w:gridSpan w:val="3"/>
          </w:tcPr>
          <w:p>
            <w:pPr>
              <w:spacing w:after="0"/>
              <w:rPr>
                <w:sz w:val="20"/>
                <w:szCs w:val="20"/>
                <w:color w:val="auto"/>
              </w:rPr>
            </w:pPr>
            <w:r>
              <w:rPr>
                <w:rFonts w:ascii="Arial" w:cs="Arial" w:eastAsia="Arial" w:hAnsi="Arial"/>
                <w:sz w:val="22"/>
                <w:szCs w:val="22"/>
                <w:color w:val="auto"/>
              </w:rPr>
              <w:t>5.11 Settlement Date Procedures.</w:t>
            </w:r>
          </w:p>
        </w:tc>
        <w:tc>
          <w:tcPr>
            <w:tcW w:w="13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9880" w:type="dxa"/>
            <w:vAlign w:val="bottom"/>
            <w:gridSpan w:val="3"/>
          </w:tcPr>
          <w:p>
            <w:pPr>
              <w:spacing w:after="0"/>
              <w:rPr>
                <w:sz w:val="20"/>
                <w:szCs w:val="20"/>
                <w:color w:val="auto"/>
              </w:rPr>
            </w:pPr>
            <w:r>
              <w:rPr>
                <w:rFonts w:ascii="Arial" w:cs="Arial" w:eastAsia="Arial" w:hAnsi="Arial"/>
                <w:sz w:val="22"/>
                <w:szCs w:val="22"/>
                <w:color w:val="auto"/>
              </w:rPr>
              <w:t>5.12 Currency Conversion Procedures for Judgments.</w:t>
            </w:r>
          </w:p>
        </w:tc>
        <w:tc>
          <w:tcPr>
            <w:tcW w:w="13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9880" w:type="dxa"/>
            <w:vAlign w:val="bottom"/>
            <w:gridSpan w:val="3"/>
          </w:tcPr>
          <w:p>
            <w:pPr>
              <w:spacing w:after="0"/>
              <w:rPr>
                <w:sz w:val="20"/>
                <w:szCs w:val="20"/>
                <w:color w:val="auto"/>
              </w:rPr>
            </w:pPr>
            <w:r>
              <w:rPr>
                <w:rFonts w:ascii="Arial" w:cs="Arial" w:eastAsia="Arial" w:hAnsi="Arial"/>
                <w:sz w:val="22"/>
                <w:szCs w:val="22"/>
                <w:color w:val="auto"/>
              </w:rPr>
              <w:t>5.13 Indemnity in Certain Events.</w:t>
            </w:r>
          </w:p>
        </w:tc>
        <w:tc>
          <w:tcPr>
            <w:tcW w:w="1380" w:type="dxa"/>
            <w:vAlign w:val="bottom"/>
          </w:tcPr>
          <w:p>
            <w:pPr>
              <w:jc w:val="right"/>
              <w:spacing w:after="0"/>
              <w:rPr>
                <w:sz w:val="20"/>
                <w:szCs w:val="20"/>
                <w:color w:val="auto"/>
              </w:rPr>
            </w:pPr>
            <w:r>
              <w:rPr>
                <w:rFonts w:ascii="Arial" w:cs="Arial" w:eastAsia="Arial" w:hAnsi="Arial"/>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60"/>
          </w:cols>
          <w:pgMar w:left="360" w:top="1440" w:right="279" w:bottom="1440" w:gutter="0" w:footer="0" w:header="0"/>
        </w:sectPr>
      </w:pPr>
    </w:p>
    <w:bookmarkStart w:id="8" w:name="page9"/>
    <w:bookmarkEnd w:id="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940" w:type="dxa"/>
            <w:vAlign w:val="bottom"/>
            <w:gridSpan w:val="3"/>
          </w:tcPr>
          <w:p>
            <w:pPr>
              <w:spacing w:after="0"/>
              <w:rPr>
                <w:sz w:val="20"/>
                <w:szCs w:val="20"/>
                <w:color w:val="auto"/>
              </w:rPr>
            </w:pPr>
            <w:r>
              <w:rPr>
                <w:rFonts w:ascii="Arial" w:cs="Arial" w:eastAsia="Arial" w:hAnsi="Arial"/>
                <w:sz w:val="22"/>
                <w:szCs w:val="22"/>
                <w:color w:val="auto"/>
              </w:rPr>
              <w:t>6. REPRESENTATIONS AND WARRANTIES</w:t>
            </w:r>
          </w:p>
        </w:tc>
        <w:tc>
          <w:tcPr>
            <w:tcW w:w="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0940" w:type="dxa"/>
            <w:vAlign w:val="bottom"/>
            <w:gridSpan w:val="3"/>
          </w:tcPr>
          <w:p>
            <w:pPr>
              <w:ind w:left="100"/>
              <w:spacing w:after="0"/>
              <w:rPr>
                <w:sz w:val="20"/>
                <w:szCs w:val="20"/>
                <w:color w:val="auto"/>
              </w:rPr>
            </w:pPr>
            <w:r>
              <w:rPr>
                <w:rFonts w:ascii="Arial" w:cs="Arial" w:eastAsia="Arial" w:hAnsi="Arial"/>
                <w:sz w:val="22"/>
                <w:szCs w:val="22"/>
                <w:color w:val="auto"/>
              </w:rPr>
              <w:t>6.1 Representations and Warranties.</w:t>
            </w:r>
          </w:p>
        </w:tc>
        <w:tc>
          <w:tcPr>
            <w:tcW w:w="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6.1.1</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w w:val="92"/>
              </w:rPr>
              <w:t>Organization and Qualification; Power and Authority; Compliance With Laws; Title to Properties; Event of Default.</w:t>
            </w:r>
          </w:p>
        </w:tc>
        <w:tc>
          <w:tcPr>
            <w:tcW w:w="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6.1.2</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Subsidiaries and Owners; Investment Companies.</w:t>
            </w:r>
          </w:p>
        </w:tc>
        <w:tc>
          <w:tcPr>
            <w:tcW w:w="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6.1.3</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Validity and Binding Effect.</w:t>
            </w:r>
          </w:p>
        </w:tc>
        <w:tc>
          <w:tcPr>
            <w:tcW w:w="4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6.1.4</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No Conflict; Material Agreements; Consents.</w:t>
            </w:r>
          </w:p>
        </w:tc>
        <w:tc>
          <w:tcPr>
            <w:tcW w:w="4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6.1.5</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Litigation.</w:t>
            </w:r>
          </w:p>
        </w:tc>
        <w:tc>
          <w:tcPr>
            <w:tcW w:w="4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6.1.6</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Financial Statements.</w:t>
            </w:r>
          </w:p>
        </w:tc>
        <w:tc>
          <w:tcPr>
            <w:tcW w:w="4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6.1.7</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Margin Stock.</w:t>
            </w:r>
          </w:p>
        </w:tc>
        <w:tc>
          <w:tcPr>
            <w:tcW w:w="4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6.1.8</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Full Disclosure.</w:t>
            </w:r>
          </w:p>
        </w:tc>
        <w:tc>
          <w:tcPr>
            <w:tcW w:w="4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6.1.9</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Taxes.</w:t>
            </w:r>
          </w:p>
        </w:tc>
        <w:tc>
          <w:tcPr>
            <w:tcW w:w="4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6.1.10</w:t>
            </w:r>
          </w:p>
        </w:tc>
        <w:tc>
          <w:tcPr>
            <w:tcW w:w="10160" w:type="dxa"/>
            <w:vAlign w:val="bottom"/>
          </w:tcPr>
          <w:p>
            <w:pPr>
              <w:ind w:left="20"/>
              <w:spacing w:after="0"/>
              <w:rPr>
                <w:sz w:val="20"/>
                <w:szCs w:val="20"/>
                <w:color w:val="auto"/>
              </w:rPr>
            </w:pPr>
            <w:r>
              <w:rPr>
                <w:rFonts w:ascii="Arial" w:cs="Arial" w:eastAsia="Arial" w:hAnsi="Arial"/>
                <w:sz w:val="22"/>
                <w:szCs w:val="22"/>
                <w:color w:val="auto"/>
              </w:rPr>
              <w:t>Patents, Trademarks, Copyrights, Licenses, Etc.</w:t>
            </w:r>
          </w:p>
        </w:tc>
        <w:tc>
          <w:tcPr>
            <w:tcW w:w="4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0940" w:type="dxa"/>
            <w:vAlign w:val="bottom"/>
            <w:gridSpan w:val="3"/>
          </w:tcPr>
          <w:p>
            <w:pPr>
              <w:ind w:left="200"/>
              <w:spacing w:after="0"/>
              <w:rPr>
                <w:sz w:val="20"/>
                <w:szCs w:val="20"/>
                <w:color w:val="auto"/>
              </w:rPr>
            </w:pPr>
            <w:r>
              <w:rPr>
                <w:rFonts w:ascii="Arial" w:cs="Arial" w:eastAsia="Arial" w:hAnsi="Arial"/>
                <w:sz w:val="22"/>
                <w:szCs w:val="22"/>
                <w:color w:val="auto"/>
              </w:rPr>
              <w:t>6.1.11 [Reserved].</w:t>
            </w:r>
          </w:p>
        </w:tc>
        <w:tc>
          <w:tcPr>
            <w:tcW w:w="4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6.1.12</w:t>
            </w:r>
          </w:p>
        </w:tc>
        <w:tc>
          <w:tcPr>
            <w:tcW w:w="10160" w:type="dxa"/>
            <w:vAlign w:val="bottom"/>
          </w:tcPr>
          <w:p>
            <w:pPr>
              <w:ind w:left="20"/>
              <w:spacing w:after="0"/>
              <w:rPr>
                <w:sz w:val="20"/>
                <w:szCs w:val="20"/>
                <w:color w:val="auto"/>
              </w:rPr>
            </w:pPr>
            <w:r>
              <w:rPr>
                <w:rFonts w:ascii="Arial" w:cs="Arial" w:eastAsia="Arial" w:hAnsi="Arial"/>
                <w:sz w:val="22"/>
                <w:szCs w:val="22"/>
                <w:color w:val="auto"/>
              </w:rPr>
              <w:t>Insurance.</w:t>
            </w:r>
          </w:p>
        </w:tc>
        <w:tc>
          <w:tcPr>
            <w:tcW w:w="4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6.1.13</w:t>
            </w:r>
          </w:p>
        </w:tc>
        <w:tc>
          <w:tcPr>
            <w:tcW w:w="10160" w:type="dxa"/>
            <w:vAlign w:val="bottom"/>
          </w:tcPr>
          <w:p>
            <w:pPr>
              <w:ind w:left="20"/>
              <w:spacing w:after="0"/>
              <w:rPr>
                <w:sz w:val="20"/>
                <w:szCs w:val="20"/>
                <w:color w:val="auto"/>
              </w:rPr>
            </w:pPr>
            <w:r>
              <w:rPr>
                <w:rFonts w:ascii="Arial" w:cs="Arial" w:eastAsia="Arial" w:hAnsi="Arial"/>
                <w:sz w:val="22"/>
                <w:szCs w:val="22"/>
                <w:color w:val="auto"/>
              </w:rPr>
              <w:t>ERISA Compliance.</w:t>
            </w:r>
          </w:p>
        </w:tc>
        <w:tc>
          <w:tcPr>
            <w:tcW w:w="4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6.1.14</w:t>
            </w:r>
          </w:p>
        </w:tc>
        <w:tc>
          <w:tcPr>
            <w:tcW w:w="10160" w:type="dxa"/>
            <w:vAlign w:val="bottom"/>
          </w:tcPr>
          <w:p>
            <w:pPr>
              <w:ind w:left="20"/>
              <w:spacing w:after="0"/>
              <w:rPr>
                <w:sz w:val="20"/>
                <w:szCs w:val="20"/>
                <w:color w:val="auto"/>
              </w:rPr>
            </w:pPr>
            <w:r>
              <w:rPr>
                <w:rFonts w:ascii="Arial" w:cs="Arial" w:eastAsia="Arial" w:hAnsi="Arial"/>
                <w:sz w:val="22"/>
                <w:szCs w:val="22"/>
                <w:color w:val="auto"/>
              </w:rPr>
              <w:t>Environmental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6.1.15</w:t>
            </w:r>
          </w:p>
        </w:tc>
        <w:tc>
          <w:tcPr>
            <w:tcW w:w="10160" w:type="dxa"/>
            <w:vAlign w:val="bottom"/>
          </w:tcPr>
          <w:p>
            <w:pPr>
              <w:ind w:left="20"/>
              <w:spacing w:after="0"/>
              <w:rPr>
                <w:sz w:val="20"/>
                <w:szCs w:val="20"/>
                <w:color w:val="auto"/>
              </w:rPr>
            </w:pPr>
            <w:r>
              <w:rPr>
                <w:rFonts w:ascii="Arial" w:cs="Arial" w:eastAsia="Arial" w:hAnsi="Arial"/>
                <w:sz w:val="22"/>
                <w:szCs w:val="22"/>
                <w:color w:val="auto"/>
              </w:rPr>
              <w:t>Solvency.</w:t>
            </w:r>
          </w:p>
        </w:tc>
        <w:tc>
          <w:tcPr>
            <w:tcW w:w="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6.1.16</w:t>
            </w:r>
          </w:p>
        </w:tc>
        <w:tc>
          <w:tcPr>
            <w:tcW w:w="10160" w:type="dxa"/>
            <w:vAlign w:val="bottom"/>
          </w:tcPr>
          <w:p>
            <w:pPr>
              <w:ind w:left="20"/>
              <w:spacing w:after="0"/>
              <w:rPr>
                <w:sz w:val="20"/>
                <w:szCs w:val="20"/>
                <w:color w:val="auto"/>
              </w:rPr>
            </w:pPr>
            <w:r>
              <w:rPr>
                <w:rFonts w:ascii="Arial" w:cs="Arial" w:eastAsia="Arial" w:hAnsi="Arial"/>
                <w:sz w:val="22"/>
                <w:szCs w:val="22"/>
                <w:color w:val="auto"/>
              </w:rPr>
              <w:t>Business and Property of Borrowers.</w:t>
            </w:r>
          </w:p>
        </w:tc>
        <w:tc>
          <w:tcPr>
            <w:tcW w:w="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6.1.17</w:t>
            </w:r>
          </w:p>
        </w:tc>
        <w:tc>
          <w:tcPr>
            <w:tcW w:w="10160" w:type="dxa"/>
            <w:vAlign w:val="bottom"/>
          </w:tcPr>
          <w:p>
            <w:pPr>
              <w:ind w:left="20"/>
              <w:spacing w:after="0"/>
              <w:rPr>
                <w:sz w:val="20"/>
                <w:szCs w:val="20"/>
                <w:color w:val="auto"/>
              </w:rPr>
            </w:pPr>
            <w:r>
              <w:rPr>
                <w:rFonts w:ascii="Arial" w:cs="Arial" w:eastAsia="Arial" w:hAnsi="Arial"/>
                <w:sz w:val="22"/>
                <w:szCs w:val="22"/>
                <w:color w:val="auto"/>
              </w:rPr>
              <w:t>Anti-Terrorism Laws.</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6.1.18</w:t>
            </w:r>
          </w:p>
        </w:tc>
        <w:tc>
          <w:tcPr>
            <w:tcW w:w="10160" w:type="dxa"/>
            <w:vAlign w:val="bottom"/>
          </w:tcPr>
          <w:p>
            <w:pPr>
              <w:ind w:left="20"/>
              <w:spacing w:after="0"/>
              <w:rPr>
                <w:sz w:val="20"/>
                <w:szCs w:val="20"/>
                <w:color w:val="auto"/>
              </w:rPr>
            </w:pPr>
            <w:r>
              <w:rPr>
                <w:rFonts w:ascii="Arial" w:cs="Arial" w:eastAsia="Arial" w:hAnsi="Arial"/>
                <w:sz w:val="22"/>
                <w:szCs w:val="22"/>
                <w:color w:val="auto"/>
              </w:rPr>
              <w:t>Prior Security Interests.</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6.1.19</w:t>
            </w:r>
          </w:p>
        </w:tc>
        <w:tc>
          <w:tcPr>
            <w:tcW w:w="10160" w:type="dxa"/>
            <w:vAlign w:val="bottom"/>
          </w:tcPr>
          <w:p>
            <w:pPr>
              <w:ind w:left="20"/>
              <w:spacing w:after="0"/>
              <w:rPr>
                <w:sz w:val="20"/>
                <w:szCs w:val="20"/>
                <w:color w:val="auto"/>
              </w:rPr>
            </w:pPr>
            <w:r>
              <w:rPr>
                <w:rFonts w:ascii="Arial" w:cs="Arial" w:eastAsia="Arial" w:hAnsi="Arial"/>
                <w:sz w:val="22"/>
                <w:szCs w:val="22"/>
                <w:color w:val="auto"/>
              </w:rPr>
              <w:t>Plan Assets..</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6.1.20</w:t>
            </w:r>
          </w:p>
        </w:tc>
        <w:tc>
          <w:tcPr>
            <w:tcW w:w="10160" w:type="dxa"/>
            <w:vAlign w:val="bottom"/>
          </w:tcPr>
          <w:p>
            <w:pPr>
              <w:ind w:left="20"/>
              <w:spacing w:after="0"/>
              <w:rPr>
                <w:sz w:val="20"/>
                <w:szCs w:val="20"/>
                <w:color w:val="auto"/>
              </w:rPr>
            </w:pPr>
            <w:r>
              <w:rPr>
                <w:rFonts w:ascii="Arial" w:cs="Arial" w:eastAsia="Arial" w:hAnsi="Arial"/>
                <w:sz w:val="22"/>
                <w:szCs w:val="22"/>
                <w:color w:val="auto"/>
              </w:rPr>
              <w:t>Certificate of Beneficial Ownership.</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0940" w:type="dxa"/>
            <w:vAlign w:val="bottom"/>
            <w:gridSpan w:val="3"/>
          </w:tcPr>
          <w:p>
            <w:pPr>
              <w:ind w:left="100"/>
              <w:spacing w:after="0"/>
              <w:rPr>
                <w:sz w:val="20"/>
                <w:szCs w:val="20"/>
                <w:color w:val="auto"/>
              </w:rPr>
            </w:pPr>
            <w:r>
              <w:rPr>
                <w:rFonts w:ascii="Arial" w:cs="Arial" w:eastAsia="Arial" w:hAnsi="Arial"/>
                <w:sz w:val="22"/>
                <w:szCs w:val="22"/>
                <w:color w:val="auto"/>
              </w:rPr>
              <w:t>6.2 Updates to Schedules.</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0940" w:type="dxa"/>
            <w:vAlign w:val="bottom"/>
            <w:gridSpan w:val="3"/>
          </w:tcPr>
          <w:p>
            <w:pPr>
              <w:spacing w:after="0"/>
              <w:rPr>
                <w:sz w:val="20"/>
                <w:szCs w:val="20"/>
                <w:color w:val="auto"/>
              </w:rPr>
            </w:pPr>
            <w:r>
              <w:rPr>
                <w:rFonts w:ascii="Arial" w:cs="Arial" w:eastAsia="Arial" w:hAnsi="Arial"/>
                <w:sz w:val="22"/>
                <w:szCs w:val="22"/>
                <w:color w:val="auto"/>
              </w:rPr>
              <w:t>7. CONDITIONS OF LENDING AND ISSUANCE OF LETTERS OF CREDIT</w:t>
            </w:r>
          </w:p>
        </w:tc>
        <w:tc>
          <w:tcPr>
            <w:tcW w:w="4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0940" w:type="dxa"/>
            <w:vAlign w:val="bottom"/>
            <w:gridSpan w:val="3"/>
          </w:tcPr>
          <w:p>
            <w:pPr>
              <w:ind w:left="100"/>
              <w:spacing w:after="0"/>
              <w:rPr>
                <w:sz w:val="20"/>
                <w:szCs w:val="20"/>
                <w:color w:val="auto"/>
              </w:rPr>
            </w:pPr>
            <w:r>
              <w:rPr>
                <w:rFonts w:ascii="Arial" w:cs="Arial" w:eastAsia="Arial" w:hAnsi="Arial"/>
                <w:sz w:val="22"/>
                <w:szCs w:val="22"/>
                <w:color w:val="auto"/>
              </w:rPr>
              <w:t>7.1 First Loans and Letters of Credit.</w:t>
            </w:r>
          </w:p>
        </w:tc>
        <w:tc>
          <w:tcPr>
            <w:tcW w:w="4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7.1.1</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Deliveries.</w:t>
            </w:r>
          </w:p>
        </w:tc>
        <w:tc>
          <w:tcPr>
            <w:tcW w:w="4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7.1.2</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Payment of Fees.</w:t>
            </w:r>
          </w:p>
        </w:tc>
        <w:tc>
          <w:tcPr>
            <w:tcW w:w="4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10940" w:type="dxa"/>
            <w:vAlign w:val="bottom"/>
            <w:gridSpan w:val="3"/>
          </w:tcPr>
          <w:p>
            <w:pPr>
              <w:ind w:left="100"/>
              <w:spacing w:after="0"/>
              <w:rPr>
                <w:sz w:val="20"/>
                <w:szCs w:val="20"/>
                <w:color w:val="auto"/>
              </w:rPr>
            </w:pPr>
            <w:r>
              <w:rPr>
                <w:rFonts w:ascii="Arial" w:cs="Arial" w:eastAsia="Arial" w:hAnsi="Arial"/>
                <w:sz w:val="22"/>
                <w:szCs w:val="22"/>
                <w:color w:val="auto"/>
              </w:rPr>
              <w:t>7.2 Each Loan or Letter of Credit.</w:t>
            </w:r>
          </w:p>
        </w:tc>
        <w:tc>
          <w:tcPr>
            <w:tcW w:w="4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10940" w:type="dxa"/>
            <w:vAlign w:val="bottom"/>
            <w:gridSpan w:val="3"/>
          </w:tcPr>
          <w:p>
            <w:pPr>
              <w:spacing w:after="0"/>
              <w:rPr>
                <w:sz w:val="20"/>
                <w:szCs w:val="20"/>
                <w:color w:val="auto"/>
              </w:rPr>
            </w:pPr>
            <w:r>
              <w:rPr>
                <w:rFonts w:ascii="Arial" w:cs="Arial" w:eastAsia="Arial" w:hAnsi="Arial"/>
                <w:sz w:val="22"/>
                <w:szCs w:val="22"/>
                <w:color w:val="auto"/>
              </w:rPr>
              <w:t>8. COVENANTS</w:t>
            </w:r>
          </w:p>
        </w:tc>
        <w:tc>
          <w:tcPr>
            <w:tcW w:w="4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0940" w:type="dxa"/>
            <w:vAlign w:val="bottom"/>
            <w:gridSpan w:val="3"/>
          </w:tcPr>
          <w:p>
            <w:pPr>
              <w:ind w:left="100"/>
              <w:spacing w:after="0"/>
              <w:rPr>
                <w:sz w:val="20"/>
                <w:szCs w:val="20"/>
                <w:color w:val="auto"/>
              </w:rPr>
            </w:pPr>
            <w:r>
              <w:rPr>
                <w:rFonts w:ascii="Arial" w:cs="Arial" w:eastAsia="Arial" w:hAnsi="Arial"/>
                <w:sz w:val="22"/>
                <w:szCs w:val="22"/>
                <w:color w:val="auto"/>
              </w:rPr>
              <w:t>8.1 Affirmative Covenants.</w:t>
            </w:r>
          </w:p>
        </w:tc>
        <w:tc>
          <w:tcPr>
            <w:tcW w:w="4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8.1.1</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Preservation of Existence, Etc.</w:t>
            </w:r>
          </w:p>
        </w:tc>
        <w:tc>
          <w:tcPr>
            <w:tcW w:w="4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8.1.2</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Payment of Liabilities, Including Taxes, Etc.</w:t>
            </w:r>
          </w:p>
        </w:tc>
        <w:tc>
          <w:tcPr>
            <w:tcW w:w="4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8.1.3</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Maintenance of Insurance.</w:t>
            </w:r>
          </w:p>
        </w:tc>
        <w:tc>
          <w:tcPr>
            <w:tcW w:w="4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8.1.4</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Maintenance of Properties and Leases.</w:t>
            </w:r>
          </w:p>
        </w:tc>
        <w:tc>
          <w:tcPr>
            <w:tcW w:w="4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8.1.5</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Visitation Rights.</w:t>
            </w:r>
          </w:p>
        </w:tc>
        <w:tc>
          <w:tcPr>
            <w:tcW w:w="4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8.1.6</w:t>
            </w:r>
          </w:p>
        </w:tc>
        <w:tc>
          <w:tcPr>
            <w:tcW w:w="10280" w:type="dxa"/>
            <w:vAlign w:val="bottom"/>
            <w:gridSpan w:val="2"/>
          </w:tcPr>
          <w:p>
            <w:pPr>
              <w:ind w:left="40"/>
              <w:spacing w:after="0"/>
              <w:rPr>
                <w:sz w:val="20"/>
                <w:szCs w:val="20"/>
                <w:color w:val="auto"/>
              </w:rPr>
            </w:pPr>
            <w:r>
              <w:rPr>
                <w:rFonts w:ascii="Arial" w:cs="Arial" w:eastAsia="Arial" w:hAnsi="Arial"/>
                <w:sz w:val="22"/>
                <w:szCs w:val="22"/>
                <w:color w:val="auto"/>
              </w:rPr>
              <w:t>Keeping of Records and Books of Account.</w:t>
            </w:r>
          </w:p>
        </w:tc>
        <w:tc>
          <w:tcPr>
            <w:tcW w:w="420" w:type="dxa"/>
            <w:vAlign w:val="bottom"/>
          </w:tcPr>
          <w:p>
            <w:pPr>
              <w:jc w:val="right"/>
              <w:spacing w:after="0"/>
              <w:rPr>
                <w:sz w:val="20"/>
                <w:szCs w:val="20"/>
                <w:color w:val="auto"/>
              </w:rPr>
            </w:pPr>
            <w:r>
              <w:rPr>
                <w:rFonts w:ascii="Arial" w:cs="Arial" w:eastAsia="Arial" w:hAnsi="Arial"/>
                <w:sz w:val="22"/>
                <w:szCs w:val="22"/>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360"/>
          </w:cols>
          <w:pgMar w:left="260" w:top="1440" w:right="279" w:bottom="1440" w:gutter="0" w:footer="0" w:header="0"/>
        </w:sectPr>
      </w:pPr>
    </w:p>
    <w:bookmarkStart w:id="9" w:name="page10"/>
    <w:bookmarkEnd w:id="9"/>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tcPr>
          <w:p>
            <w:pPr>
              <w:ind w:left="200"/>
              <w:spacing w:after="0"/>
              <w:rPr>
                <w:sz w:val="20"/>
                <w:szCs w:val="20"/>
                <w:color w:val="auto"/>
              </w:rPr>
            </w:pPr>
            <w:r>
              <w:rPr>
                <w:rFonts w:ascii="Arial" w:cs="Arial" w:eastAsia="Arial" w:hAnsi="Arial"/>
                <w:sz w:val="22"/>
                <w:szCs w:val="22"/>
                <w:color w:val="auto"/>
                <w:w w:val="89"/>
              </w:rPr>
              <w:t>8.1.7</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Compliance with Laws; Use of Proceeds.</w:t>
            </w:r>
          </w:p>
        </w:tc>
        <w:tc>
          <w:tcPr>
            <w:tcW w:w="224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8.1.8</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Anti-Terrorism Laws; International Trade Law Compliance.</w:t>
            </w:r>
          </w:p>
        </w:tc>
        <w:tc>
          <w:tcPr>
            <w:tcW w:w="224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8.1.9</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Keepwell.</w:t>
            </w:r>
          </w:p>
        </w:tc>
        <w:tc>
          <w:tcPr>
            <w:tcW w:w="224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8.1.10</w:t>
            </w:r>
          </w:p>
        </w:tc>
        <w:tc>
          <w:tcPr>
            <w:tcW w:w="8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224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9120" w:type="dxa"/>
            <w:vAlign w:val="bottom"/>
            <w:gridSpan w:val="3"/>
          </w:tcPr>
          <w:p>
            <w:pPr>
              <w:ind w:left="200"/>
              <w:spacing w:after="0"/>
              <w:rPr>
                <w:sz w:val="20"/>
                <w:szCs w:val="20"/>
                <w:color w:val="auto"/>
              </w:rPr>
            </w:pPr>
            <w:r>
              <w:rPr>
                <w:rFonts w:ascii="Arial" w:cs="Arial" w:eastAsia="Arial" w:hAnsi="Arial"/>
                <w:sz w:val="22"/>
                <w:szCs w:val="22"/>
                <w:color w:val="auto"/>
              </w:rPr>
              <w:t>8.1.11 Further Assurances.</w:t>
            </w:r>
          </w:p>
        </w:tc>
        <w:tc>
          <w:tcPr>
            <w:tcW w:w="224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8.1.12</w:t>
            </w:r>
          </w:p>
        </w:tc>
        <w:tc>
          <w:tcPr>
            <w:tcW w:w="8340" w:type="dxa"/>
            <w:vAlign w:val="bottom"/>
          </w:tcPr>
          <w:p>
            <w:pPr>
              <w:ind w:left="20"/>
              <w:spacing w:after="0"/>
              <w:rPr>
                <w:sz w:val="20"/>
                <w:szCs w:val="20"/>
                <w:color w:val="auto"/>
              </w:rPr>
            </w:pPr>
            <w:r>
              <w:rPr>
                <w:rFonts w:ascii="Arial" w:cs="Arial" w:eastAsia="Arial" w:hAnsi="Arial"/>
                <w:sz w:val="22"/>
                <w:szCs w:val="22"/>
                <w:color w:val="auto"/>
              </w:rPr>
              <w:t>Additional Information.</w:t>
            </w:r>
          </w:p>
        </w:tc>
        <w:tc>
          <w:tcPr>
            <w:tcW w:w="224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8.1.13</w:t>
            </w:r>
          </w:p>
        </w:tc>
        <w:tc>
          <w:tcPr>
            <w:tcW w:w="8340" w:type="dxa"/>
            <w:vAlign w:val="bottom"/>
          </w:tcPr>
          <w:p>
            <w:pPr>
              <w:ind w:left="20"/>
              <w:spacing w:after="0"/>
              <w:rPr>
                <w:sz w:val="20"/>
                <w:szCs w:val="20"/>
                <w:color w:val="auto"/>
              </w:rPr>
            </w:pPr>
            <w:r>
              <w:rPr>
                <w:rFonts w:ascii="Arial" w:cs="Arial" w:eastAsia="Arial" w:hAnsi="Arial"/>
                <w:sz w:val="22"/>
                <w:szCs w:val="22"/>
                <w:color w:val="auto"/>
              </w:rPr>
              <w:t>Certificate of Beneficial Ownership and Other Additional Information..</w:t>
            </w:r>
          </w:p>
        </w:tc>
        <w:tc>
          <w:tcPr>
            <w:tcW w:w="224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9120" w:type="dxa"/>
            <w:vAlign w:val="bottom"/>
            <w:gridSpan w:val="3"/>
          </w:tcPr>
          <w:p>
            <w:pPr>
              <w:ind w:left="100"/>
              <w:spacing w:after="0"/>
              <w:rPr>
                <w:sz w:val="20"/>
                <w:szCs w:val="20"/>
                <w:color w:val="auto"/>
              </w:rPr>
            </w:pPr>
            <w:r>
              <w:rPr>
                <w:rFonts w:ascii="Arial" w:cs="Arial" w:eastAsia="Arial" w:hAnsi="Arial"/>
                <w:sz w:val="22"/>
                <w:szCs w:val="22"/>
                <w:color w:val="auto"/>
              </w:rPr>
              <w:t>8.2 Negative Covenants.</w:t>
            </w:r>
          </w:p>
        </w:tc>
        <w:tc>
          <w:tcPr>
            <w:tcW w:w="224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8.2.1</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Indebtedness.</w:t>
            </w:r>
          </w:p>
        </w:tc>
        <w:tc>
          <w:tcPr>
            <w:tcW w:w="224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8.2.2</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Liens; Lien Covenants.</w:t>
            </w:r>
          </w:p>
        </w:tc>
        <w:tc>
          <w:tcPr>
            <w:tcW w:w="22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8.2.3</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Guaranties.</w:t>
            </w:r>
          </w:p>
        </w:tc>
        <w:tc>
          <w:tcPr>
            <w:tcW w:w="22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8.2.4</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Loans and Investments.</w:t>
            </w:r>
          </w:p>
        </w:tc>
        <w:tc>
          <w:tcPr>
            <w:tcW w:w="22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8.2.5</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Dividends and Related Distributions.</w:t>
            </w:r>
          </w:p>
        </w:tc>
        <w:tc>
          <w:tcPr>
            <w:tcW w:w="224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8.2.6</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Liquidations, Mergers, Consolidations, and Acquisitions.</w:t>
            </w:r>
          </w:p>
        </w:tc>
        <w:tc>
          <w:tcPr>
            <w:tcW w:w="22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8.2.7</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Dispositions of Assets or Subsidiaries.</w:t>
            </w:r>
          </w:p>
        </w:tc>
        <w:tc>
          <w:tcPr>
            <w:tcW w:w="224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8.2.8</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Affiliate Transactions.</w:t>
            </w:r>
          </w:p>
        </w:tc>
        <w:tc>
          <w:tcPr>
            <w:tcW w:w="2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8.2.9</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Subsidiaries, Partnerships and Joint Ventures.</w:t>
            </w:r>
          </w:p>
        </w:tc>
        <w:tc>
          <w:tcPr>
            <w:tcW w:w="2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8.2.10</w:t>
            </w:r>
          </w:p>
        </w:tc>
        <w:tc>
          <w:tcPr>
            <w:tcW w:w="8340" w:type="dxa"/>
            <w:vAlign w:val="bottom"/>
          </w:tcPr>
          <w:p>
            <w:pPr>
              <w:ind w:left="20"/>
              <w:spacing w:after="0"/>
              <w:rPr>
                <w:sz w:val="20"/>
                <w:szCs w:val="20"/>
                <w:color w:val="auto"/>
              </w:rPr>
            </w:pPr>
            <w:r>
              <w:rPr>
                <w:rFonts w:ascii="Arial" w:cs="Arial" w:eastAsia="Arial" w:hAnsi="Arial"/>
                <w:sz w:val="22"/>
                <w:szCs w:val="22"/>
                <w:color w:val="auto"/>
              </w:rPr>
              <w:t>Continuation of or Change in Business.</w:t>
            </w:r>
          </w:p>
        </w:tc>
        <w:tc>
          <w:tcPr>
            <w:tcW w:w="2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97"/>
        </w:trPr>
        <w:tc>
          <w:tcPr>
            <w:tcW w:w="9120" w:type="dxa"/>
            <w:vAlign w:val="bottom"/>
            <w:gridSpan w:val="3"/>
          </w:tcPr>
          <w:p>
            <w:pPr>
              <w:ind w:left="200"/>
              <w:spacing w:after="0"/>
              <w:rPr>
                <w:sz w:val="20"/>
                <w:szCs w:val="20"/>
                <w:color w:val="auto"/>
              </w:rPr>
            </w:pPr>
            <w:r>
              <w:rPr>
                <w:rFonts w:ascii="Arial" w:cs="Arial" w:eastAsia="Arial" w:hAnsi="Arial"/>
                <w:sz w:val="22"/>
                <w:szCs w:val="22"/>
                <w:color w:val="auto"/>
              </w:rPr>
              <w:t>8.2.11 Fiscal Year.</w:t>
            </w:r>
          </w:p>
        </w:tc>
        <w:tc>
          <w:tcPr>
            <w:tcW w:w="2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8.2.12</w:t>
            </w:r>
          </w:p>
        </w:tc>
        <w:tc>
          <w:tcPr>
            <w:tcW w:w="8340" w:type="dxa"/>
            <w:vAlign w:val="bottom"/>
          </w:tcPr>
          <w:p>
            <w:pPr>
              <w:ind w:left="20"/>
              <w:spacing w:after="0"/>
              <w:rPr>
                <w:sz w:val="20"/>
                <w:szCs w:val="20"/>
                <w:color w:val="auto"/>
              </w:rPr>
            </w:pPr>
            <w:r>
              <w:rPr>
                <w:rFonts w:ascii="Arial" w:cs="Arial" w:eastAsia="Arial" w:hAnsi="Arial"/>
                <w:sz w:val="22"/>
                <w:szCs w:val="22"/>
                <w:color w:val="auto"/>
              </w:rPr>
              <w:t>Changes in Organizational Documents.</w:t>
            </w:r>
          </w:p>
        </w:tc>
        <w:tc>
          <w:tcPr>
            <w:tcW w:w="22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8.2.13</w:t>
            </w:r>
          </w:p>
        </w:tc>
        <w:tc>
          <w:tcPr>
            <w:tcW w:w="8340" w:type="dxa"/>
            <w:vAlign w:val="bottom"/>
          </w:tcPr>
          <w:p>
            <w:pPr>
              <w:ind w:left="20"/>
              <w:spacing w:after="0"/>
              <w:rPr>
                <w:sz w:val="20"/>
                <w:szCs w:val="20"/>
                <w:color w:val="auto"/>
              </w:rPr>
            </w:pPr>
            <w:r>
              <w:rPr>
                <w:rFonts w:ascii="Arial" w:cs="Arial" w:eastAsia="Arial" w:hAnsi="Arial"/>
                <w:sz w:val="22"/>
                <w:szCs w:val="22"/>
                <w:color w:val="auto"/>
              </w:rPr>
              <w:t>Maximum Gross Leverage Ratio.</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8.2.14</w:t>
            </w:r>
          </w:p>
        </w:tc>
        <w:tc>
          <w:tcPr>
            <w:tcW w:w="8340" w:type="dxa"/>
            <w:vAlign w:val="bottom"/>
          </w:tcPr>
          <w:p>
            <w:pPr>
              <w:ind w:left="20"/>
              <w:spacing w:after="0"/>
              <w:rPr>
                <w:sz w:val="20"/>
                <w:szCs w:val="20"/>
                <w:color w:val="auto"/>
              </w:rPr>
            </w:pPr>
            <w:r>
              <w:rPr>
                <w:rFonts w:ascii="Arial" w:cs="Arial" w:eastAsia="Arial" w:hAnsi="Arial"/>
                <w:sz w:val="22"/>
                <w:szCs w:val="22"/>
                <w:color w:val="auto"/>
              </w:rPr>
              <w:t>Minimum Consolidated Fixed Charge Coverage Ratio.</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8.2.15</w:t>
            </w:r>
          </w:p>
        </w:tc>
        <w:tc>
          <w:tcPr>
            <w:tcW w:w="8340" w:type="dxa"/>
            <w:vAlign w:val="bottom"/>
          </w:tcPr>
          <w:p>
            <w:pPr>
              <w:ind w:left="20"/>
              <w:spacing w:after="0"/>
              <w:rPr>
                <w:sz w:val="20"/>
                <w:szCs w:val="20"/>
                <w:color w:val="auto"/>
              </w:rPr>
            </w:pPr>
            <w:r>
              <w:rPr>
                <w:rFonts w:ascii="Arial" w:cs="Arial" w:eastAsia="Arial" w:hAnsi="Arial"/>
                <w:sz w:val="22"/>
                <w:szCs w:val="22"/>
                <w:color w:val="auto"/>
              </w:rPr>
              <w:t>Minimum Working Capital to Revolving Facility Usage Ratio.</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8.2.16</w:t>
            </w:r>
          </w:p>
        </w:tc>
        <w:tc>
          <w:tcPr>
            <w:tcW w:w="8340" w:type="dxa"/>
            <w:vAlign w:val="bottom"/>
          </w:tcPr>
          <w:p>
            <w:pPr>
              <w:ind w:left="20"/>
              <w:spacing w:after="0"/>
              <w:rPr>
                <w:sz w:val="20"/>
                <w:szCs w:val="20"/>
                <w:color w:val="auto"/>
              </w:rPr>
            </w:pPr>
            <w:r>
              <w:rPr>
                <w:rFonts w:ascii="Arial" w:cs="Arial" w:eastAsia="Arial" w:hAnsi="Arial"/>
                <w:sz w:val="22"/>
                <w:szCs w:val="22"/>
                <w:color w:val="auto"/>
              </w:rPr>
              <w:t>Immaterial Subsidiaries.</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8.2.17</w:t>
            </w:r>
          </w:p>
        </w:tc>
        <w:tc>
          <w:tcPr>
            <w:tcW w:w="8340" w:type="dxa"/>
            <w:vAlign w:val="bottom"/>
          </w:tcPr>
          <w:p>
            <w:pPr>
              <w:ind w:left="20"/>
              <w:spacing w:after="0"/>
              <w:rPr>
                <w:sz w:val="20"/>
                <w:szCs w:val="20"/>
                <w:color w:val="auto"/>
              </w:rPr>
            </w:pPr>
            <w:r>
              <w:rPr>
                <w:rFonts w:ascii="Arial" w:cs="Arial" w:eastAsia="Arial" w:hAnsi="Arial"/>
                <w:sz w:val="22"/>
                <w:szCs w:val="22"/>
                <w:color w:val="auto"/>
              </w:rPr>
              <w:t>Canadian Pension Plans</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780" w:type="dxa"/>
            <w:vAlign w:val="bottom"/>
            <w:gridSpan w:val="2"/>
          </w:tcPr>
          <w:p>
            <w:pPr>
              <w:ind w:left="200"/>
              <w:spacing w:after="0"/>
              <w:rPr>
                <w:sz w:val="20"/>
                <w:szCs w:val="20"/>
                <w:color w:val="auto"/>
              </w:rPr>
            </w:pPr>
            <w:r>
              <w:rPr>
                <w:rFonts w:ascii="Arial" w:cs="Arial" w:eastAsia="Arial" w:hAnsi="Arial"/>
                <w:sz w:val="22"/>
                <w:szCs w:val="22"/>
                <w:color w:val="auto"/>
                <w:w w:val="91"/>
              </w:rPr>
              <w:t>8.2.18</w:t>
            </w:r>
          </w:p>
        </w:tc>
        <w:tc>
          <w:tcPr>
            <w:tcW w:w="8340" w:type="dxa"/>
            <w:vAlign w:val="bottom"/>
          </w:tcPr>
          <w:p>
            <w:pPr>
              <w:ind w:left="20"/>
              <w:spacing w:after="0"/>
              <w:rPr>
                <w:sz w:val="20"/>
                <w:szCs w:val="20"/>
                <w:color w:val="auto"/>
              </w:rPr>
            </w:pPr>
            <w:r>
              <w:rPr>
                <w:rFonts w:ascii="Arial" w:cs="Arial" w:eastAsia="Arial" w:hAnsi="Arial"/>
                <w:sz w:val="22"/>
                <w:szCs w:val="22"/>
                <w:color w:val="auto"/>
              </w:rPr>
              <w:t>UK Pension Plans</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9120" w:type="dxa"/>
            <w:vAlign w:val="bottom"/>
            <w:gridSpan w:val="3"/>
          </w:tcPr>
          <w:p>
            <w:pPr>
              <w:ind w:left="100"/>
              <w:spacing w:after="0"/>
              <w:rPr>
                <w:sz w:val="20"/>
                <w:szCs w:val="20"/>
                <w:color w:val="auto"/>
              </w:rPr>
            </w:pPr>
            <w:r>
              <w:rPr>
                <w:rFonts w:ascii="Arial" w:cs="Arial" w:eastAsia="Arial" w:hAnsi="Arial"/>
                <w:sz w:val="22"/>
                <w:szCs w:val="22"/>
                <w:color w:val="auto"/>
              </w:rPr>
              <w:t>8.3 Reporting Requirements.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8.3.1</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Quarterly Financial Statements.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8.3.2</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Annual Financial Statements.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8.3.3</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Certificate of the Company.</w:t>
            </w:r>
          </w:p>
        </w:tc>
        <w:tc>
          <w:tcPr>
            <w:tcW w:w="22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8.3.4</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Notices.</w:t>
            </w:r>
          </w:p>
        </w:tc>
        <w:tc>
          <w:tcPr>
            <w:tcW w:w="22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9120" w:type="dxa"/>
            <w:vAlign w:val="bottom"/>
            <w:gridSpan w:val="3"/>
          </w:tcPr>
          <w:p>
            <w:pPr>
              <w:spacing w:after="0"/>
              <w:rPr>
                <w:sz w:val="20"/>
                <w:szCs w:val="20"/>
                <w:color w:val="auto"/>
              </w:rPr>
            </w:pPr>
            <w:r>
              <w:rPr>
                <w:rFonts w:ascii="Arial" w:cs="Arial" w:eastAsia="Arial" w:hAnsi="Arial"/>
                <w:sz w:val="22"/>
                <w:szCs w:val="22"/>
                <w:color w:val="auto"/>
              </w:rPr>
              <w:t>9. DEFAULT</w:t>
            </w:r>
          </w:p>
        </w:tc>
        <w:tc>
          <w:tcPr>
            <w:tcW w:w="22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9120" w:type="dxa"/>
            <w:vAlign w:val="bottom"/>
            <w:gridSpan w:val="3"/>
          </w:tcPr>
          <w:p>
            <w:pPr>
              <w:ind w:left="100"/>
              <w:spacing w:after="0"/>
              <w:rPr>
                <w:sz w:val="20"/>
                <w:szCs w:val="20"/>
                <w:color w:val="auto"/>
              </w:rPr>
            </w:pPr>
            <w:r>
              <w:rPr>
                <w:rFonts w:ascii="Arial" w:cs="Arial" w:eastAsia="Arial" w:hAnsi="Arial"/>
                <w:sz w:val="22"/>
                <w:szCs w:val="22"/>
                <w:color w:val="auto"/>
              </w:rPr>
              <w:t>9.1 Events of Default.</w:t>
            </w:r>
          </w:p>
        </w:tc>
        <w:tc>
          <w:tcPr>
            <w:tcW w:w="22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9.1.1</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Payments Under Loan Documents.</w:t>
            </w:r>
          </w:p>
        </w:tc>
        <w:tc>
          <w:tcPr>
            <w:tcW w:w="22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9.1.2</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Breach of Warranty.</w:t>
            </w:r>
          </w:p>
        </w:tc>
        <w:tc>
          <w:tcPr>
            <w:tcW w:w="224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9.1.3</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Anti-Terrorism Laws.</w:t>
            </w:r>
          </w:p>
        </w:tc>
        <w:tc>
          <w:tcPr>
            <w:tcW w:w="224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tcPr>
          <w:p>
            <w:pPr>
              <w:ind w:left="200"/>
              <w:spacing w:after="0"/>
              <w:rPr>
                <w:sz w:val="20"/>
                <w:szCs w:val="20"/>
                <w:color w:val="auto"/>
              </w:rPr>
            </w:pPr>
            <w:r>
              <w:rPr>
                <w:rFonts w:ascii="Arial" w:cs="Arial" w:eastAsia="Arial" w:hAnsi="Arial"/>
                <w:sz w:val="22"/>
                <w:szCs w:val="22"/>
                <w:color w:val="auto"/>
                <w:w w:val="89"/>
              </w:rPr>
              <w:t>9.1.4</w:t>
            </w:r>
          </w:p>
        </w:tc>
        <w:tc>
          <w:tcPr>
            <w:tcW w:w="8460" w:type="dxa"/>
            <w:vAlign w:val="bottom"/>
            <w:gridSpan w:val="2"/>
          </w:tcPr>
          <w:p>
            <w:pPr>
              <w:ind w:left="40"/>
              <w:spacing w:after="0"/>
              <w:rPr>
                <w:sz w:val="20"/>
                <w:szCs w:val="20"/>
                <w:color w:val="auto"/>
              </w:rPr>
            </w:pPr>
            <w:r>
              <w:rPr>
                <w:rFonts w:ascii="Arial" w:cs="Arial" w:eastAsia="Arial" w:hAnsi="Arial"/>
                <w:sz w:val="22"/>
                <w:szCs w:val="22"/>
                <w:color w:val="auto"/>
              </w:rPr>
              <w:t>Breach of Negative Covenants, Visitation Rights or Anti-Terrorism Laws.</w:t>
            </w:r>
          </w:p>
        </w:tc>
        <w:tc>
          <w:tcPr>
            <w:tcW w:w="2240" w:type="dxa"/>
            <w:vAlign w:val="bottom"/>
          </w:tcPr>
          <w:p>
            <w:pPr>
              <w:jc w:val="right"/>
              <w:spacing w:after="0"/>
              <w:rPr>
                <w:sz w:val="20"/>
                <w:szCs w:val="20"/>
                <w:color w:val="auto"/>
              </w:rPr>
            </w:pPr>
            <w:r>
              <w:rPr>
                <w:rFonts w:ascii="Arial" w:cs="Arial" w:eastAsia="Arial" w:hAnsi="Arial"/>
                <w:sz w:val="22"/>
                <w:szCs w:val="22"/>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360"/>
          </w:cols>
          <w:pgMar w:left="260" w:top="1440" w:right="279" w:bottom="1440" w:gutter="0" w:footer="0" w:header="0"/>
        </w:sectPr>
      </w:pPr>
    </w:p>
    <w:bookmarkStart w:id="10" w:name="page11"/>
    <w:bookmarkEnd w:id="10"/>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9.1.5</w:t>
            </w:r>
          </w:p>
        </w:tc>
        <w:tc>
          <w:tcPr>
            <w:tcW w:w="9520" w:type="dxa"/>
            <w:vAlign w:val="bottom"/>
          </w:tcPr>
          <w:p>
            <w:pPr>
              <w:ind w:left="40"/>
              <w:spacing w:after="0"/>
              <w:rPr>
                <w:sz w:val="20"/>
                <w:szCs w:val="20"/>
                <w:color w:val="auto"/>
              </w:rPr>
            </w:pPr>
            <w:r>
              <w:rPr>
                <w:rFonts w:ascii="Arial" w:cs="Arial" w:eastAsia="Arial" w:hAnsi="Arial"/>
                <w:sz w:val="22"/>
                <w:szCs w:val="22"/>
                <w:color w:val="auto"/>
              </w:rPr>
              <w:t>Breach of Other Covenants.</w:t>
            </w:r>
          </w:p>
        </w:tc>
        <w:tc>
          <w:tcPr>
            <w:tcW w:w="11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9.1.6</w:t>
            </w:r>
          </w:p>
        </w:tc>
        <w:tc>
          <w:tcPr>
            <w:tcW w:w="9520" w:type="dxa"/>
            <w:vAlign w:val="bottom"/>
          </w:tcPr>
          <w:p>
            <w:pPr>
              <w:ind w:left="40"/>
              <w:spacing w:after="0"/>
              <w:rPr>
                <w:sz w:val="20"/>
                <w:szCs w:val="20"/>
                <w:color w:val="auto"/>
              </w:rPr>
            </w:pPr>
            <w:r>
              <w:rPr>
                <w:rFonts w:ascii="Arial" w:cs="Arial" w:eastAsia="Arial" w:hAnsi="Arial"/>
                <w:sz w:val="22"/>
                <w:szCs w:val="22"/>
                <w:color w:val="auto"/>
              </w:rPr>
              <w:t>Defaults in Other Agreements or Indebtedness.</w:t>
            </w:r>
          </w:p>
        </w:tc>
        <w:tc>
          <w:tcPr>
            <w:tcW w:w="11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9.1.7</w:t>
            </w:r>
          </w:p>
        </w:tc>
        <w:tc>
          <w:tcPr>
            <w:tcW w:w="9520" w:type="dxa"/>
            <w:vAlign w:val="bottom"/>
          </w:tcPr>
          <w:p>
            <w:pPr>
              <w:ind w:left="40"/>
              <w:spacing w:after="0"/>
              <w:rPr>
                <w:sz w:val="20"/>
                <w:szCs w:val="20"/>
                <w:color w:val="auto"/>
              </w:rPr>
            </w:pPr>
            <w:r>
              <w:rPr>
                <w:rFonts w:ascii="Arial" w:cs="Arial" w:eastAsia="Arial" w:hAnsi="Arial"/>
                <w:sz w:val="22"/>
                <w:szCs w:val="22"/>
                <w:color w:val="auto"/>
              </w:rPr>
              <w:t>Final Judgments or Orders.</w:t>
            </w:r>
          </w:p>
        </w:tc>
        <w:tc>
          <w:tcPr>
            <w:tcW w:w="11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9.1.8</w:t>
            </w:r>
          </w:p>
        </w:tc>
        <w:tc>
          <w:tcPr>
            <w:tcW w:w="9520" w:type="dxa"/>
            <w:vAlign w:val="bottom"/>
          </w:tcPr>
          <w:p>
            <w:pPr>
              <w:ind w:left="40"/>
              <w:spacing w:after="0"/>
              <w:rPr>
                <w:sz w:val="20"/>
                <w:szCs w:val="20"/>
                <w:color w:val="auto"/>
              </w:rPr>
            </w:pPr>
            <w:r>
              <w:rPr>
                <w:rFonts w:ascii="Arial" w:cs="Arial" w:eastAsia="Arial" w:hAnsi="Arial"/>
                <w:sz w:val="22"/>
                <w:szCs w:val="22"/>
                <w:color w:val="auto"/>
              </w:rPr>
              <w:t>Loan Document Unenforceable.</w:t>
            </w:r>
          </w:p>
        </w:tc>
        <w:tc>
          <w:tcPr>
            <w:tcW w:w="11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9.1.9</w:t>
            </w:r>
          </w:p>
        </w:tc>
        <w:tc>
          <w:tcPr>
            <w:tcW w:w="9520" w:type="dxa"/>
            <w:vAlign w:val="bottom"/>
          </w:tcPr>
          <w:p>
            <w:pPr>
              <w:ind w:left="40"/>
              <w:spacing w:after="0"/>
              <w:rPr>
                <w:sz w:val="20"/>
                <w:szCs w:val="20"/>
                <w:color w:val="auto"/>
              </w:rPr>
            </w:pPr>
            <w:r>
              <w:rPr>
                <w:rFonts w:ascii="Arial" w:cs="Arial" w:eastAsia="Arial" w:hAnsi="Arial"/>
                <w:sz w:val="22"/>
                <w:szCs w:val="22"/>
                <w:color w:val="auto"/>
              </w:rPr>
              <w:t>Events Relating to Plans and Benefit Arrangements.</w:t>
            </w:r>
          </w:p>
        </w:tc>
        <w:tc>
          <w:tcPr>
            <w:tcW w:w="11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9.1.10 Change of Control.</w:t>
            </w:r>
          </w:p>
        </w:tc>
        <w:tc>
          <w:tcPr>
            <w:tcW w:w="11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9.1.11 Relief Proceedings.</w:t>
            </w:r>
          </w:p>
        </w:tc>
        <w:tc>
          <w:tcPr>
            <w:tcW w:w="11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9.1.12 Uninsured Losses; Proceedings Against Assets</w:t>
            </w:r>
          </w:p>
        </w:tc>
        <w:tc>
          <w:tcPr>
            <w:tcW w:w="11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0180" w:type="dxa"/>
            <w:vAlign w:val="bottom"/>
            <w:gridSpan w:val="3"/>
          </w:tcPr>
          <w:p>
            <w:pPr>
              <w:ind w:left="100"/>
              <w:spacing w:after="0"/>
              <w:rPr>
                <w:sz w:val="20"/>
                <w:szCs w:val="20"/>
                <w:color w:val="auto"/>
              </w:rPr>
            </w:pPr>
            <w:r>
              <w:rPr>
                <w:rFonts w:ascii="Arial" w:cs="Arial" w:eastAsia="Arial" w:hAnsi="Arial"/>
                <w:sz w:val="22"/>
                <w:szCs w:val="22"/>
                <w:color w:val="auto"/>
              </w:rPr>
              <w:t>9.2 Consequences of Event of Default.</w:t>
            </w:r>
          </w:p>
        </w:tc>
        <w:tc>
          <w:tcPr>
            <w:tcW w:w="11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9.2.1</w:t>
            </w:r>
          </w:p>
        </w:tc>
        <w:tc>
          <w:tcPr>
            <w:tcW w:w="9520" w:type="dxa"/>
            <w:vAlign w:val="bottom"/>
          </w:tcPr>
          <w:p>
            <w:pPr>
              <w:ind w:left="40"/>
              <w:spacing w:after="0"/>
              <w:rPr>
                <w:sz w:val="20"/>
                <w:szCs w:val="20"/>
                <w:color w:val="auto"/>
              </w:rPr>
            </w:pPr>
            <w:r>
              <w:rPr>
                <w:rFonts w:ascii="Arial" w:cs="Arial" w:eastAsia="Arial" w:hAnsi="Arial"/>
                <w:sz w:val="22"/>
                <w:szCs w:val="22"/>
                <w:color w:val="auto"/>
              </w:rPr>
              <w:t>Events of Default Other Than Bankruptcy, Insolvency or Reorganization Proceedings.</w:t>
            </w:r>
          </w:p>
        </w:tc>
        <w:tc>
          <w:tcPr>
            <w:tcW w:w="11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9.2.2</w:t>
            </w:r>
          </w:p>
        </w:tc>
        <w:tc>
          <w:tcPr>
            <w:tcW w:w="9520" w:type="dxa"/>
            <w:vAlign w:val="bottom"/>
          </w:tcPr>
          <w:p>
            <w:pPr>
              <w:ind w:left="40"/>
              <w:spacing w:after="0"/>
              <w:rPr>
                <w:sz w:val="20"/>
                <w:szCs w:val="20"/>
                <w:color w:val="auto"/>
              </w:rPr>
            </w:pPr>
            <w:r>
              <w:rPr>
                <w:rFonts w:ascii="Arial" w:cs="Arial" w:eastAsia="Arial" w:hAnsi="Arial"/>
                <w:sz w:val="22"/>
                <w:szCs w:val="22"/>
                <w:color w:val="auto"/>
              </w:rPr>
              <w:t>Bankruptcy, Insolvency or Reorganization Proceedings.</w:t>
            </w:r>
          </w:p>
        </w:tc>
        <w:tc>
          <w:tcPr>
            <w:tcW w:w="11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9.2.3</w:t>
            </w:r>
          </w:p>
        </w:tc>
        <w:tc>
          <w:tcPr>
            <w:tcW w:w="9520" w:type="dxa"/>
            <w:vAlign w:val="bottom"/>
          </w:tcPr>
          <w:p>
            <w:pPr>
              <w:ind w:left="40"/>
              <w:spacing w:after="0"/>
              <w:rPr>
                <w:sz w:val="20"/>
                <w:szCs w:val="20"/>
                <w:color w:val="auto"/>
              </w:rPr>
            </w:pPr>
            <w:r>
              <w:rPr>
                <w:rFonts w:ascii="Arial" w:cs="Arial" w:eastAsia="Arial" w:hAnsi="Arial"/>
                <w:sz w:val="22"/>
                <w:szCs w:val="22"/>
                <w:color w:val="auto"/>
              </w:rPr>
              <w:t>Set-off.</w:t>
            </w:r>
          </w:p>
        </w:tc>
        <w:tc>
          <w:tcPr>
            <w:tcW w:w="118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660" w:type="dxa"/>
            <w:vAlign w:val="bottom"/>
            <w:gridSpan w:val="2"/>
          </w:tcPr>
          <w:p>
            <w:pPr>
              <w:ind w:left="200"/>
              <w:spacing w:after="0"/>
              <w:rPr>
                <w:sz w:val="20"/>
                <w:szCs w:val="20"/>
                <w:color w:val="auto"/>
              </w:rPr>
            </w:pPr>
            <w:r>
              <w:rPr>
                <w:rFonts w:ascii="Arial" w:cs="Arial" w:eastAsia="Arial" w:hAnsi="Arial"/>
                <w:sz w:val="22"/>
                <w:szCs w:val="22"/>
                <w:color w:val="auto"/>
                <w:w w:val="89"/>
              </w:rPr>
              <w:t>9.2.4</w:t>
            </w:r>
          </w:p>
        </w:tc>
        <w:tc>
          <w:tcPr>
            <w:tcW w:w="9520" w:type="dxa"/>
            <w:vAlign w:val="bottom"/>
          </w:tcPr>
          <w:p>
            <w:pPr>
              <w:ind w:left="40"/>
              <w:spacing w:after="0"/>
              <w:rPr>
                <w:sz w:val="20"/>
                <w:szCs w:val="20"/>
                <w:color w:val="auto"/>
              </w:rPr>
            </w:pPr>
            <w:r>
              <w:rPr>
                <w:rFonts w:ascii="Arial" w:cs="Arial" w:eastAsia="Arial" w:hAnsi="Arial"/>
                <w:sz w:val="22"/>
                <w:szCs w:val="22"/>
                <w:color w:val="auto"/>
              </w:rPr>
              <w:t>Application of Proceeds.</w:t>
            </w:r>
          </w:p>
        </w:tc>
        <w:tc>
          <w:tcPr>
            <w:tcW w:w="118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0180" w:type="dxa"/>
            <w:vAlign w:val="bottom"/>
            <w:gridSpan w:val="3"/>
          </w:tcPr>
          <w:p>
            <w:pPr>
              <w:spacing w:after="0"/>
              <w:rPr>
                <w:sz w:val="20"/>
                <w:szCs w:val="20"/>
                <w:color w:val="auto"/>
              </w:rPr>
            </w:pPr>
            <w:r>
              <w:rPr>
                <w:rFonts w:ascii="Arial" w:cs="Arial" w:eastAsia="Arial" w:hAnsi="Arial"/>
                <w:sz w:val="22"/>
                <w:szCs w:val="22"/>
                <w:color w:val="auto"/>
              </w:rPr>
              <w:t>10. THE ADMINISTRATIVE AGENT</w:t>
            </w:r>
          </w:p>
        </w:tc>
        <w:tc>
          <w:tcPr>
            <w:tcW w:w="118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10.1</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Appointment and Authority.</w:t>
            </w:r>
          </w:p>
        </w:tc>
        <w:tc>
          <w:tcPr>
            <w:tcW w:w="118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10.2</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Rights as a Lender.</w:t>
            </w:r>
          </w:p>
        </w:tc>
        <w:tc>
          <w:tcPr>
            <w:tcW w:w="11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10.3</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Exculpatory Provisions.</w:t>
            </w:r>
          </w:p>
        </w:tc>
        <w:tc>
          <w:tcPr>
            <w:tcW w:w="11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10.4</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Reliance by Administrative Agent.</w:t>
            </w:r>
          </w:p>
        </w:tc>
        <w:tc>
          <w:tcPr>
            <w:tcW w:w="11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10.5</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Delegation of Duties.</w:t>
            </w:r>
          </w:p>
        </w:tc>
        <w:tc>
          <w:tcPr>
            <w:tcW w:w="11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10.6</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Resignation of Administrative Agent.</w:t>
            </w:r>
          </w:p>
        </w:tc>
        <w:tc>
          <w:tcPr>
            <w:tcW w:w="11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10.7</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Non-Reliance on Administrative Agent and Other Lenders.</w:t>
            </w:r>
          </w:p>
        </w:tc>
        <w:tc>
          <w:tcPr>
            <w:tcW w:w="11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10.8</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No Other Duties, etc.</w:t>
            </w:r>
          </w:p>
        </w:tc>
        <w:tc>
          <w:tcPr>
            <w:tcW w:w="11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10.9</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Administrative Agent's Fee.</w:t>
            </w:r>
          </w:p>
        </w:tc>
        <w:tc>
          <w:tcPr>
            <w:tcW w:w="11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0180" w:type="dxa"/>
            <w:vAlign w:val="bottom"/>
            <w:gridSpan w:val="3"/>
          </w:tcPr>
          <w:p>
            <w:pPr>
              <w:ind w:left="100"/>
              <w:spacing w:after="0"/>
              <w:rPr>
                <w:sz w:val="20"/>
                <w:szCs w:val="20"/>
                <w:color w:val="auto"/>
              </w:rPr>
            </w:pPr>
            <w:r>
              <w:rPr>
                <w:rFonts w:ascii="Arial" w:cs="Arial" w:eastAsia="Arial" w:hAnsi="Arial"/>
                <w:sz w:val="22"/>
                <w:szCs w:val="22"/>
                <w:color w:val="auto"/>
              </w:rPr>
              <w:t>10.10 No Reliance on Administrative Agent's Customer Identification Program.</w:t>
            </w:r>
          </w:p>
        </w:tc>
        <w:tc>
          <w:tcPr>
            <w:tcW w:w="11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0180" w:type="dxa"/>
            <w:vAlign w:val="bottom"/>
            <w:gridSpan w:val="3"/>
          </w:tcPr>
          <w:p>
            <w:pPr>
              <w:ind w:left="100"/>
              <w:spacing w:after="0"/>
              <w:rPr>
                <w:sz w:val="20"/>
                <w:szCs w:val="20"/>
                <w:color w:val="auto"/>
              </w:rPr>
            </w:pPr>
            <w:r>
              <w:rPr>
                <w:rFonts w:ascii="Arial" w:cs="Arial" w:eastAsia="Arial" w:hAnsi="Arial"/>
                <w:sz w:val="22"/>
                <w:szCs w:val="22"/>
                <w:color w:val="auto"/>
              </w:rPr>
              <w:t>10.11 Authorization to Release Collateral and Guarantors.</w:t>
            </w:r>
          </w:p>
        </w:tc>
        <w:tc>
          <w:tcPr>
            <w:tcW w:w="11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0180" w:type="dxa"/>
            <w:vAlign w:val="bottom"/>
            <w:gridSpan w:val="3"/>
          </w:tcPr>
          <w:p>
            <w:pPr>
              <w:ind w:left="100"/>
              <w:spacing w:after="0"/>
              <w:rPr>
                <w:sz w:val="20"/>
                <w:szCs w:val="20"/>
                <w:color w:val="auto"/>
              </w:rPr>
            </w:pPr>
            <w:r>
              <w:rPr>
                <w:rFonts w:ascii="Arial" w:cs="Arial" w:eastAsia="Arial" w:hAnsi="Arial"/>
                <w:sz w:val="22"/>
                <w:szCs w:val="22"/>
                <w:color w:val="auto"/>
              </w:rPr>
              <w:t>10.12 Plan Assets.</w:t>
            </w:r>
          </w:p>
        </w:tc>
        <w:tc>
          <w:tcPr>
            <w:tcW w:w="11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0180" w:type="dxa"/>
            <w:vAlign w:val="bottom"/>
            <w:gridSpan w:val="3"/>
          </w:tcPr>
          <w:p>
            <w:pPr>
              <w:spacing w:after="0"/>
              <w:rPr>
                <w:sz w:val="20"/>
                <w:szCs w:val="20"/>
                <w:color w:val="auto"/>
              </w:rPr>
            </w:pPr>
            <w:r>
              <w:rPr>
                <w:rFonts w:ascii="Arial" w:cs="Arial" w:eastAsia="Arial" w:hAnsi="Arial"/>
                <w:sz w:val="22"/>
                <w:szCs w:val="22"/>
                <w:color w:val="auto"/>
              </w:rPr>
              <w:t>11. [RESERVED]</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0180" w:type="dxa"/>
            <w:vAlign w:val="bottom"/>
            <w:gridSpan w:val="3"/>
          </w:tcPr>
          <w:p>
            <w:pPr>
              <w:spacing w:after="0"/>
              <w:rPr>
                <w:sz w:val="20"/>
                <w:szCs w:val="20"/>
                <w:color w:val="auto"/>
              </w:rPr>
            </w:pPr>
            <w:r>
              <w:rPr>
                <w:rFonts w:ascii="Arial" w:cs="Arial" w:eastAsia="Arial" w:hAnsi="Arial"/>
                <w:sz w:val="22"/>
                <w:szCs w:val="22"/>
                <w:color w:val="auto"/>
              </w:rPr>
              <w:t>12. MISCELLANEOUS</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12.1</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Modifications, Amendments or Waivers.</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12.1.1 Increase of Commitment.</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w w:val="98"/>
              </w:rPr>
              <w:t>12.1.2 Extension of Payment; Reduction of Principal Interest or Fees; Modification of Terms of Payment.</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12.1.3 Release of Collateral or Guarantor.</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12.1.4 Miscellaneous.</w:t>
            </w:r>
          </w:p>
        </w:tc>
        <w:tc>
          <w:tcPr>
            <w:tcW w:w="11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12.2</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No Implied Waivers; Cumulative Remedies.</w:t>
            </w:r>
          </w:p>
        </w:tc>
        <w:tc>
          <w:tcPr>
            <w:tcW w:w="11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500" w:type="dxa"/>
            <w:vAlign w:val="bottom"/>
          </w:tcPr>
          <w:p>
            <w:pPr>
              <w:ind w:left="100"/>
              <w:spacing w:after="0"/>
              <w:rPr>
                <w:sz w:val="20"/>
                <w:szCs w:val="20"/>
                <w:color w:val="auto"/>
              </w:rPr>
            </w:pPr>
            <w:r>
              <w:rPr>
                <w:rFonts w:ascii="Arial" w:cs="Arial" w:eastAsia="Arial" w:hAnsi="Arial"/>
                <w:sz w:val="22"/>
                <w:szCs w:val="22"/>
                <w:color w:val="auto"/>
                <w:w w:val="88"/>
              </w:rPr>
              <w:t>12.3</w:t>
            </w:r>
          </w:p>
        </w:tc>
        <w:tc>
          <w:tcPr>
            <w:tcW w:w="9680" w:type="dxa"/>
            <w:vAlign w:val="bottom"/>
            <w:gridSpan w:val="2"/>
          </w:tcPr>
          <w:p>
            <w:pPr>
              <w:ind w:left="20"/>
              <w:spacing w:after="0"/>
              <w:rPr>
                <w:sz w:val="20"/>
                <w:szCs w:val="20"/>
                <w:color w:val="auto"/>
              </w:rPr>
            </w:pPr>
            <w:r>
              <w:rPr>
                <w:rFonts w:ascii="Arial" w:cs="Arial" w:eastAsia="Arial" w:hAnsi="Arial"/>
                <w:sz w:val="22"/>
                <w:szCs w:val="22"/>
                <w:color w:val="auto"/>
              </w:rPr>
              <w:t>Expenses; Indemnity; Damage Waiver.</w:t>
            </w:r>
          </w:p>
        </w:tc>
        <w:tc>
          <w:tcPr>
            <w:tcW w:w="11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0180" w:type="dxa"/>
            <w:vAlign w:val="bottom"/>
            <w:gridSpan w:val="3"/>
          </w:tcPr>
          <w:p>
            <w:pPr>
              <w:ind w:left="200"/>
              <w:spacing w:after="0"/>
              <w:rPr>
                <w:sz w:val="20"/>
                <w:szCs w:val="20"/>
                <w:color w:val="auto"/>
              </w:rPr>
            </w:pPr>
            <w:r>
              <w:rPr>
                <w:rFonts w:ascii="Arial" w:cs="Arial" w:eastAsia="Arial" w:hAnsi="Arial"/>
                <w:sz w:val="22"/>
                <w:szCs w:val="22"/>
                <w:color w:val="auto"/>
              </w:rPr>
              <w:t>12.3.1 Costs and Expenses.</w:t>
            </w:r>
          </w:p>
        </w:tc>
        <w:tc>
          <w:tcPr>
            <w:tcW w:w="1180" w:type="dxa"/>
            <w:vAlign w:val="bottom"/>
          </w:tcPr>
          <w:p>
            <w:pPr>
              <w:jc w:val="right"/>
              <w:spacing w:after="0"/>
              <w:rPr>
                <w:sz w:val="20"/>
                <w:szCs w:val="20"/>
                <w:color w:val="auto"/>
              </w:rPr>
            </w:pPr>
            <w:r>
              <w:rPr>
                <w:rFonts w:ascii="Arial" w:cs="Arial" w:eastAsia="Arial" w:hAnsi="Arial"/>
                <w:sz w:val="22"/>
                <w:szCs w:val="22"/>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360"/>
          </w:cols>
          <w:pgMar w:left="260" w:top="1440" w:right="279" w:bottom="1440" w:gutter="0" w:footer="0" w:header="0"/>
        </w:sectPr>
      </w:pPr>
    </w:p>
    <w:bookmarkStart w:id="11" w:name="page12"/>
    <w:bookmarkEnd w:id="11"/>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0" w:type="dxa"/>
            <w:vAlign w:val="bottom"/>
          </w:tcPr>
          <w:p>
            <w:pPr>
              <w:ind w:left="100"/>
              <w:spacing w:after="0"/>
              <w:rPr>
                <w:sz w:val="20"/>
                <w:szCs w:val="20"/>
                <w:color w:val="auto"/>
              </w:rPr>
            </w:pPr>
            <w:r>
              <w:rPr>
                <w:rFonts w:ascii="Arial" w:cs="Arial" w:eastAsia="Arial" w:hAnsi="Arial"/>
                <w:sz w:val="22"/>
                <w:szCs w:val="22"/>
                <w:color w:val="auto"/>
                <w:w w:val="91"/>
              </w:rPr>
              <w:t>12.3.2</w:t>
            </w:r>
          </w:p>
        </w:tc>
        <w:tc>
          <w:tcPr>
            <w:tcW w:w="10200" w:type="dxa"/>
            <w:vAlign w:val="bottom"/>
          </w:tcPr>
          <w:p>
            <w:pPr>
              <w:ind w:left="20"/>
              <w:spacing w:after="0"/>
              <w:rPr>
                <w:sz w:val="20"/>
                <w:szCs w:val="20"/>
                <w:color w:val="auto"/>
              </w:rPr>
            </w:pPr>
            <w:r>
              <w:rPr>
                <w:rFonts w:ascii="Arial" w:cs="Arial" w:eastAsia="Arial" w:hAnsi="Arial"/>
                <w:sz w:val="22"/>
                <w:szCs w:val="22"/>
                <w:color w:val="auto"/>
              </w:rPr>
              <w:t>Indemnification by the Loan Parties.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107</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12.3.3</w:t>
            </w:r>
          </w:p>
        </w:tc>
        <w:tc>
          <w:tcPr>
            <w:tcW w:w="10200" w:type="dxa"/>
            <w:vAlign w:val="bottom"/>
          </w:tcPr>
          <w:p>
            <w:pPr>
              <w:ind w:left="20"/>
              <w:spacing w:after="0"/>
              <w:rPr>
                <w:sz w:val="20"/>
                <w:szCs w:val="20"/>
                <w:color w:val="auto"/>
              </w:rPr>
            </w:pPr>
            <w:r>
              <w:rPr>
                <w:rFonts w:ascii="Arial" w:cs="Arial" w:eastAsia="Arial" w:hAnsi="Arial"/>
                <w:sz w:val="22"/>
                <w:szCs w:val="22"/>
                <w:color w:val="auto"/>
              </w:rPr>
              <w:t>Reimbursement by Lenders.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12.3.4</w:t>
            </w:r>
          </w:p>
        </w:tc>
        <w:tc>
          <w:tcPr>
            <w:tcW w:w="10200" w:type="dxa"/>
            <w:vAlign w:val="bottom"/>
          </w:tcPr>
          <w:p>
            <w:pPr>
              <w:ind w:left="20"/>
              <w:spacing w:after="0"/>
              <w:rPr>
                <w:sz w:val="20"/>
                <w:szCs w:val="20"/>
                <w:color w:val="auto"/>
              </w:rPr>
            </w:pPr>
            <w:r>
              <w:rPr>
                <w:rFonts w:ascii="Arial" w:cs="Arial" w:eastAsia="Arial" w:hAnsi="Arial"/>
                <w:sz w:val="22"/>
                <w:szCs w:val="22"/>
                <w:color w:val="auto"/>
              </w:rPr>
              <w:t>Waiver of Consequential Damages, Etc.</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12.3.5</w:t>
            </w:r>
          </w:p>
        </w:tc>
        <w:tc>
          <w:tcPr>
            <w:tcW w:w="10200" w:type="dxa"/>
            <w:vAlign w:val="bottom"/>
          </w:tcPr>
          <w:p>
            <w:pPr>
              <w:ind w:left="20"/>
              <w:spacing w:after="0"/>
              <w:rPr>
                <w:sz w:val="20"/>
                <w:szCs w:val="20"/>
                <w:color w:val="auto"/>
              </w:rPr>
            </w:pPr>
            <w:r>
              <w:rPr>
                <w:rFonts w:ascii="Arial" w:cs="Arial" w:eastAsia="Arial" w:hAnsi="Arial"/>
                <w:sz w:val="22"/>
                <w:szCs w:val="22"/>
                <w:color w:val="auto"/>
              </w:rPr>
              <w:t>Payments.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12.4 Holidays.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12.5 Notices; Effectiveness; Electronic Communication.</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12.5.1</w:t>
            </w:r>
          </w:p>
        </w:tc>
        <w:tc>
          <w:tcPr>
            <w:tcW w:w="10200" w:type="dxa"/>
            <w:vAlign w:val="bottom"/>
          </w:tcPr>
          <w:p>
            <w:pPr>
              <w:ind w:left="20"/>
              <w:spacing w:after="0"/>
              <w:rPr>
                <w:sz w:val="20"/>
                <w:szCs w:val="20"/>
                <w:color w:val="auto"/>
              </w:rPr>
            </w:pPr>
            <w:r>
              <w:rPr>
                <w:rFonts w:ascii="Arial" w:cs="Arial" w:eastAsia="Arial" w:hAnsi="Arial"/>
                <w:sz w:val="22"/>
                <w:szCs w:val="22"/>
                <w:color w:val="auto"/>
              </w:rPr>
              <w:t>Notices Generally.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108</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12.5.2</w:t>
            </w:r>
          </w:p>
        </w:tc>
        <w:tc>
          <w:tcPr>
            <w:tcW w:w="10200" w:type="dxa"/>
            <w:vAlign w:val="bottom"/>
          </w:tcPr>
          <w:p>
            <w:pPr>
              <w:ind w:left="20"/>
              <w:spacing w:after="0"/>
              <w:rPr>
                <w:sz w:val="20"/>
                <w:szCs w:val="20"/>
                <w:color w:val="auto"/>
              </w:rPr>
            </w:pPr>
            <w:r>
              <w:rPr>
                <w:rFonts w:ascii="Arial" w:cs="Arial" w:eastAsia="Arial" w:hAnsi="Arial"/>
                <w:sz w:val="22"/>
                <w:szCs w:val="22"/>
                <w:color w:val="auto"/>
              </w:rPr>
              <w:t>Electronic Communications.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109</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12.5.3</w:t>
            </w:r>
          </w:p>
        </w:tc>
        <w:tc>
          <w:tcPr>
            <w:tcW w:w="10200" w:type="dxa"/>
            <w:vAlign w:val="bottom"/>
          </w:tcPr>
          <w:p>
            <w:pPr>
              <w:ind w:left="20"/>
              <w:spacing w:after="0"/>
              <w:rPr>
                <w:sz w:val="20"/>
                <w:szCs w:val="20"/>
                <w:color w:val="auto"/>
              </w:rPr>
            </w:pPr>
            <w:r>
              <w:rPr>
                <w:rFonts w:ascii="Arial" w:cs="Arial" w:eastAsia="Arial" w:hAnsi="Arial"/>
                <w:sz w:val="22"/>
                <w:szCs w:val="22"/>
                <w:color w:val="auto"/>
              </w:rPr>
              <w:t>Change of Address, Etc.</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109</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12.6 Severability.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109</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12.7 Duration; Survival.</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109</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12.8 Successors and Assigns.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110</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12.8.1</w:t>
            </w:r>
          </w:p>
        </w:tc>
        <w:tc>
          <w:tcPr>
            <w:tcW w:w="10200" w:type="dxa"/>
            <w:vAlign w:val="bottom"/>
          </w:tcPr>
          <w:p>
            <w:pPr>
              <w:ind w:left="20"/>
              <w:spacing w:after="0"/>
              <w:rPr>
                <w:sz w:val="20"/>
                <w:szCs w:val="20"/>
                <w:color w:val="auto"/>
              </w:rPr>
            </w:pPr>
            <w:r>
              <w:rPr>
                <w:rFonts w:ascii="Arial" w:cs="Arial" w:eastAsia="Arial" w:hAnsi="Arial"/>
                <w:sz w:val="22"/>
                <w:szCs w:val="22"/>
                <w:color w:val="auto"/>
              </w:rPr>
              <w:t>Successors and Assigns Generally.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110</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12.8.2</w:t>
            </w:r>
          </w:p>
        </w:tc>
        <w:tc>
          <w:tcPr>
            <w:tcW w:w="10200" w:type="dxa"/>
            <w:vAlign w:val="bottom"/>
          </w:tcPr>
          <w:p>
            <w:pPr>
              <w:ind w:left="20"/>
              <w:spacing w:after="0"/>
              <w:rPr>
                <w:sz w:val="20"/>
                <w:szCs w:val="20"/>
                <w:color w:val="auto"/>
              </w:rPr>
            </w:pPr>
            <w:r>
              <w:rPr>
                <w:rFonts w:ascii="Arial" w:cs="Arial" w:eastAsia="Arial" w:hAnsi="Arial"/>
                <w:sz w:val="22"/>
                <w:szCs w:val="22"/>
                <w:color w:val="auto"/>
              </w:rPr>
              <w:t>Assignments by Lenders.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110</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12.8.3</w:t>
            </w:r>
          </w:p>
        </w:tc>
        <w:tc>
          <w:tcPr>
            <w:tcW w:w="10200" w:type="dxa"/>
            <w:vAlign w:val="bottom"/>
          </w:tcPr>
          <w:p>
            <w:pPr>
              <w:ind w:left="20"/>
              <w:spacing w:after="0"/>
              <w:rPr>
                <w:sz w:val="20"/>
                <w:szCs w:val="20"/>
                <w:color w:val="auto"/>
              </w:rPr>
            </w:pPr>
            <w:r>
              <w:rPr>
                <w:rFonts w:ascii="Arial" w:cs="Arial" w:eastAsia="Arial" w:hAnsi="Arial"/>
                <w:sz w:val="22"/>
                <w:szCs w:val="22"/>
                <w:color w:val="auto"/>
              </w:rPr>
              <w:t>Register.</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112</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12.8.4</w:t>
            </w:r>
          </w:p>
        </w:tc>
        <w:tc>
          <w:tcPr>
            <w:tcW w:w="10200" w:type="dxa"/>
            <w:vAlign w:val="bottom"/>
          </w:tcPr>
          <w:p>
            <w:pPr>
              <w:ind w:left="20"/>
              <w:spacing w:after="0"/>
              <w:rPr>
                <w:sz w:val="20"/>
                <w:szCs w:val="20"/>
                <w:color w:val="auto"/>
              </w:rPr>
            </w:pPr>
            <w:r>
              <w:rPr>
                <w:rFonts w:ascii="Arial" w:cs="Arial" w:eastAsia="Arial" w:hAnsi="Arial"/>
                <w:sz w:val="22"/>
                <w:szCs w:val="22"/>
                <w:color w:val="auto"/>
              </w:rPr>
              <w:t>Participations.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112</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12.8.5</w:t>
            </w:r>
          </w:p>
        </w:tc>
        <w:tc>
          <w:tcPr>
            <w:tcW w:w="10200" w:type="dxa"/>
            <w:vAlign w:val="bottom"/>
          </w:tcPr>
          <w:p>
            <w:pPr>
              <w:ind w:left="20"/>
              <w:spacing w:after="0"/>
              <w:rPr>
                <w:sz w:val="20"/>
                <w:szCs w:val="20"/>
                <w:color w:val="auto"/>
              </w:rPr>
            </w:pPr>
            <w:r>
              <w:rPr>
                <w:rFonts w:ascii="Arial" w:cs="Arial" w:eastAsia="Arial" w:hAnsi="Arial"/>
                <w:sz w:val="22"/>
                <w:szCs w:val="22"/>
                <w:color w:val="auto"/>
              </w:rPr>
              <w:t>Limitations upon Participant Rights Successors and Assigns Generally.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113</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12.8.6</w:t>
            </w:r>
          </w:p>
        </w:tc>
        <w:tc>
          <w:tcPr>
            <w:tcW w:w="10200" w:type="dxa"/>
            <w:vAlign w:val="bottom"/>
          </w:tcPr>
          <w:p>
            <w:pPr>
              <w:ind w:left="20"/>
              <w:spacing w:after="0"/>
              <w:rPr>
                <w:sz w:val="20"/>
                <w:szCs w:val="20"/>
                <w:color w:val="auto"/>
              </w:rPr>
            </w:pPr>
            <w:r>
              <w:rPr>
                <w:rFonts w:ascii="Arial" w:cs="Arial" w:eastAsia="Arial" w:hAnsi="Arial"/>
                <w:sz w:val="22"/>
                <w:szCs w:val="22"/>
                <w:color w:val="auto"/>
              </w:rPr>
              <w:t>Certain Pledges; Successors and Assigns Generally.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113</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12.9 Confidentiality.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113</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12.9.1</w:t>
            </w:r>
          </w:p>
        </w:tc>
        <w:tc>
          <w:tcPr>
            <w:tcW w:w="10200" w:type="dxa"/>
            <w:vAlign w:val="bottom"/>
          </w:tcPr>
          <w:p>
            <w:pPr>
              <w:ind w:left="20"/>
              <w:spacing w:after="0"/>
              <w:rPr>
                <w:sz w:val="20"/>
                <w:szCs w:val="20"/>
                <w:color w:val="auto"/>
              </w:rPr>
            </w:pPr>
            <w:r>
              <w:rPr>
                <w:rFonts w:ascii="Arial" w:cs="Arial" w:eastAsia="Arial" w:hAnsi="Arial"/>
                <w:sz w:val="22"/>
                <w:szCs w:val="22"/>
                <w:color w:val="auto"/>
              </w:rPr>
              <w:t>General.</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113</w:t>
            </w:r>
          </w:p>
        </w:tc>
      </w:tr>
      <w:tr>
        <w:trPr>
          <w:trHeight w:val="297"/>
        </w:trPr>
        <w:tc>
          <w:tcPr>
            <w:tcW w:w="680" w:type="dxa"/>
            <w:vAlign w:val="bottom"/>
          </w:tcPr>
          <w:p>
            <w:pPr>
              <w:ind w:left="100"/>
              <w:spacing w:after="0"/>
              <w:rPr>
                <w:sz w:val="20"/>
                <w:szCs w:val="20"/>
                <w:color w:val="auto"/>
              </w:rPr>
            </w:pPr>
            <w:r>
              <w:rPr>
                <w:rFonts w:ascii="Arial" w:cs="Arial" w:eastAsia="Arial" w:hAnsi="Arial"/>
                <w:sz w:val="22"/>
                <w:szCs w:val="22"/>
                <w:color w:val="auto"/>
                <w:w w:val="91"/>
              </w:rPr>
              <w:t>12.9.2</w:t>
            </w:r>
          </w:p>
        </w:tc>
        <w:tc>
          <w:tcPr>
            <w:tcW w:w="10200" w:type="dxa"/>
            <w:vAlign w:val="bottom"/>
          </w:tcPr>
          <w:p>
            <w:pPr>
              <w:ind w:left="20"/>
              <w:spacing w:after="0"/>
              <w:rPr>
                <w:sz w:val="20"/>
                <w:szCs w:val="20"/>
                <w:color w:val="auto"/>
              </w:rPr>
            </w:pPr>
            <w:r>
              <w:rPr>
                <w:rFonts w:ascii="Arial" w:cs="Arial" w:eastAsia="Arial" w:hAnsi="Arial"/>
                <w:sz w:val="22"/>
                <w:szCs w:val="22"/>
                <w:color w:val="auto"/>
              </w:rPr>
              <w:t>Sharing Information With Affiliates of the Lenders.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114</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12.10 Counterparts; Integration; Effectiveness.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114</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12.10.1 Counterparts; Integration; Effectiveness.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114</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12.10.2 Electronic Execution of Assignments.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115</w:t>
            </w:r>
          </w:p>
        </w:tc>
      </w:tr>
      <w:tr>
        <w:trPr>
          <w:trHeight w:val="266"/>
        </w:trPr>
        <w:tc>
          <w:tcPr>
            <w:tcW w:w="10880" w:type="dxa"/>
            <w:vAlign w:val="bottom"/>
            <w:gridSpan w:val="2"/>
          </w:tcPr>
          <w:p>
            <w:pPr>
              <w:spacing w:after="0"/>
              <w:rPr>
                <w:sz w:val="20"/>
                <w:szCs w:val="20"/>
                <w:color w:val="auto"/>
              </w:rPr>
            </w:pPr>
            <w:r>
              <w:rPr>
                <w:rFonts w:ascii="Arial" w:cs="Arial" w:eastAsia="Arial" w:hAnsi="Arial"/>
                <w:sz w:val="22"/>
                <w:szCs w:val="22"/>
                <w:color w:val="auto"/>
                <w:w w:val="93"/>
              </w:rPr>
              <w:t>12.11 CHOICE OF LAW; SUBMISSION TO JURISDICTION; WAIVER OF VENUE; SERVICE OF PROCESS; WAIVER</w:t>
            </w:r>
          </w:p>
        </w:tc>
        <w:tc>
          <w:tcPr>
            <w:tcW w:w="380" w:type="dxa"/>
            <w:vAlign w:val="bottom"/>
          </w:tcPr>
          <w:p>
            <w:pPr>
              <w:spacing w:after="0"/>
              <w:rPr>
                <w:sz w:val="23"/>
                <w:szCs w:val="23"/>
                <w:color w:val="auto"/>
              </w:rPr>
            </w:pPr>
          </w:p>
        </w:tc>
      </w:tr>
      <w:tr>
        <w:trPr>
          <w:trHeight w:val="275"/>
        </w:trPr>
        <w:tc>
          <w:tcPr>
            <w:tcW w:w="10880" w:type="dxa"/>
            <w:vAlign w:val="bottom"/>
            <w:gridSpan w:val="2"/>
          </w:tcPr>
          <w:p>
            <w:pPr>
              <w:spacing w:after="0"/>
              <w:rPr>
                <w:sz w:val="20"/>
                <w:szCs w:val="20"/>
                <w:color w:val="auto"/>
              </w:rPr>
            </w:pPr>
            <w:r>
              <w:rPr>
                <w:rFonts w:ascii="Arial" w:cs="Arial" w:eastAsia="Arial" w:hAnsi="Arial"/>
                <w:sz w:val="22"/>
                <w:szCs w:val="22"/>
                <w:color w:val="auto"/>
              </w:rPr>
              <w:t>OF JURY TRIAL.</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115</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12.11.1 Governing Law.</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115</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12.11.2 SUBMISSION TO JURISDICTION.</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115</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12.11.3 WAIVER OF VENUE.</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12.11.4 SERVICE OF PROCESS.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r>
      <w:tr>
        <w:trPr>
          <w:trHeight w:val="297"/>
        </w:trPr>
        <w:tc>
          <w:tcPr>
            <w:tcW w:w="10880" w:type="dxa"/>
            <w:vAlign w:val="bottom"/>
            <w:gridSpan w:val="2"/>
          </w:tcPr>
          <w:p>
            <w:pPr>
              <w:ind w:left="100"/>
              <w:spacing w:after="0"/>
              <w:rPr>
                <w:sz w:val="20"/>
                <w:szCs w:val="20"/>
                <w:color w:val="auto"/>
              </w:rPr>
            </w:pPr>
            <w:r>
              <w:rPr>
                <w:rFonts w:ascii="Arial" w:cs="Arial" w:eastAsia="Arial" w:hAnsi="Arial"/>
                <w:sz w:val="22"/>
                <w:szCs w:val="22"/>
                <w:color w:val="auto"/>
              </w:rPr>
              <w:t>12.11.5 WAIVER OF JURY TRIAL.</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12.12 USA PATRIOT Act Notice.</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12.13 Borrower Agent.</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116</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12.14 Foreign Loan Parties.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117</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12.15 Joinder of Borrowers and Guarantors..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117</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12.16 Increase in Commitments.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118</w:t>
            </w:r>
          </w:p>
        </w:tc>
      </w:tr>
      <w:tr>
        <w:trPr>
          <w:trHeight w:val="297"/>
        </w:trPr>
        <w:tc>
          <w:tcPr>
            <w:tcW w:w="10880" w:type="dxa"/>
            <w:vAlign w:val="bottom"/>
            <w:gridSpan w:val="2"/>
          </w:tcPr>
          <w:p>
            <w:pPr>
              <w:spacing w:after="0"/>
              <w:rPr>
                <w:sz w:val="20"/>
                <w:szCs w:val="20"/>
                <w:color w:val="auto"/>
              </w:rPr>
            </w:pPr>
            <w:r>
              <w:rPr>
                <w:rFonts w:ascii="Arial" w:cs="Arial" w:eastAsia="Arial" w:hAnsi="Arial"/>
                <w:sz w:val="22"/>
                <w:szCs w:val="22"/>
                <w:color w:val="auto"/>
              </w:rPr>
              <w:t>12.17 No Advisory or Fiduciary Responsibility.</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260"/>
          </w:cols>
          <w:pgMar w:left="360" w:top="1440" w:right="279" w:bottom="1440" w:gutter="0" w:footer="0" w:header="0"/>
        </w:sectPr>
      </w:pPr>
    </w:p>
    <w:bookmarkStart w:id="12" w:name="page13"/>
    <w:bookmarkEnd w:id="12"/>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00" w:type="dxa"/>
            <w:vAlign w:val="bottom"/>
          </w:tcPr>
          <w:p>
            <w:pPr>
              <w:jc w:val="right"/>
              <w:spacing w:after="0"/>
              <w:rPr>
                <w:sz w:val="20"/>
                <w:szCs w:val="20"/>
                <w:color w:val="auto"/>
              </w:rPr>
            </w:pPr>
            <w:r>
              <w:rPr>
                <w:rFonts w:ascii="Arial" w:cs="Arial" w:eastAsia="Arial" w:hAnsi="Arial"/>
                <w:sz w:val="22"/>
                <w:szCs w:val="22"/>
                <w:color w:val="auto"/>
                <w:w w:val="83"/>
              </w:rPr>
              <w:t>12.18</w:t>
            </w:r>
          </w:p>
        </w:tc>
        <w:tc>
          <w:tcPr>
            <w:tcW w:w="6060" w:type="dxa"/>
            <w:vAlign w:val="bottom"/>
          </w:tcPr>
          <w:p>
            <w:pPr>
              <w:ind w:left="40"/>
              <w:spacing w:after="0"/>
              <w:rPr>
                <w:sz w:val="20"/>
                <w:szCs w:val="20"/>
                <w:color w:val="auto"/>
              </w:rPr>
            </w:pPr>
            <w:r>
              <w:rPr>
                <w:rFonts w:ascii="Arial" w:cs="Arial" w:eastAsia="Arial" w:hAnsi="Arial"/>
                <w:sz w:val="22"/>
                <w:szCs w:val="22"/>
                <w:color w:val="auto"/>
              </w:rPr>
              <w:t>No Novation.</w:t>
            </w:r>
          </w:p>
        </w:tc>
        <w:tc>
          <w:tcPr>
            <w:tcW w:w="470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97"/>
        </w:trPr>
        <w:tc>
          <w:tcPr>
            <w:tcW w:w="500" w:type="dxa"/>
            <w:vAlign w:val="bottom"/>
          </w:tcPr>
          <w:p>
            <w:pPr>
              <w:jc w:val="right"/>
              <w:spacing w:after="0"/>
              <w:rPr>
                <w:sz w:val="20"/>
                <w:szCs w:val="20"/>
                <w:color w:val="auto"/>
              </w:rPr>
            </w:pPr>
            <w:r>
              <w:rPr>
                <w:rFonts w:ascii="Arial" w:cs="Arial" w:eastAsia="Arial" w:hAnsi="Arial"/>
                <w:sz w:val="22"/>
                <w:szCs w:val="22"/>
                <w:color w:val="auto"/>
                <w:w w:val="83"/>
              </w:rPr>
              <w:t>12.19</w:t>
            </w:r>
          </w:p>
        </w:tc>
        <w:tc>
          <w:tcPr>
            <w:tcW w:w="6060" w:type="dxa"/>
            <w:vAlign w:val="bottom"/>
          </w:tcPr>
          <w:p>
            <w:pPr>
              <w:ind w:left="40"/>
              <w:spacing w:after="0"/>
              <w:rPr>
                <w:sz w:val="20"/>
                <w:szCs w:val="20"/>
                <w:color w:val="auto"/>
              </w:rPr>
            </w:pPr>
            <w:r>
              <w:rPr>
                <w:rFonts w:ascii="Arial" w:cs="Arial" w:eastAsia="Arial" w:hAnsi="Arial"/>
                <w:sz w:val="22"/>
                <w:szCs w:val="22"/>
                <w:color w:val="auto"/>
              </w:rPr>
              <w:t>English Language.</w:t>
            </w:r>
          </w:p>
        </w:tc>
        <w:tc>
          <w:tcPr>
            <w:tcW w:w="4700" w:type="dxa"/>
            <w:vAlign w:val="bottom"/>
          </w:tcPr>
          <w:p>
            <w:pPr>
              <w:jc w:val="right"/>
              <w:spacing w:after="0"/>
              <w:rPr>
                <w:sz w:val="20"/>
                <w:szCs w:val="20"/>
                <w:color w:val="auto"/>
              </w:rPr>
            </w:pPr>
            <w:r>
              <w:rPr>
                <w:rFonts w:ascii="Arial" w:cs="Arial" w:eastAsia="Arial" w:hAnsi="Arial"/>
                <w:sz w:val="22"/>
                <w:szCs w:val="22"/>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260"/>
          </w:cols>
          <w:pgMar w:left="360" w:top="1440" w:right="27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22"/>
          <w:szCs w:val="22"/>
          <w:b w:val="1"/>
          <w:bCs w:val="1"/>
          <w:u w:val="single" w:color="auto"/>
          <w:color w:val="auto"/>
        </w:rPr>
        <w:t>LIST OF SCHEDULES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SCHEDULE 1.1(A) - PRICING GRID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1.1(B) - COMMITMENTS OF LENDERS AND ADDRESSES FOR NOTICES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1.1(P) - PERMITTED LIENS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2.8.1 - LETTERS OF CREDIT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5.9.10 - TAX GROSS UP AND INDEMNITIES FOR UK BORROWERS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6.1.1 - QUALIFICATIONS TO DO BUSINESS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6.1.2 -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6.1.5 - LITIGATION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6.1.13 - DEFINED BENEFIT PLANS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6.1.14 - ENVIRONMENTAL DISCLOSURES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8.2.1 - PERMITTED INDEBTEDNESS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8.2.3 - GUARANTIES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8.2.4 - 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8.2.9 - SUBSIDIARIES, PARTNERSHIPS, JOINT VENTURES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8" w:lineRule="exact"/>
        <w:rPr>
          <w:sz w:val="20"/>
          <w:szCs w:val="20"/>
          <w:color w:val="auto"/>
        </w:rPr>
      </w:pPr>
    </w:p>
    <w:p>
      <w:pPr>
        <w:ind w:right="4860"/>
        <w:spacing w:after="0" w:line="243" w:lineRule="auto"/>
        <w:rPr>
          <w:sz w:val="20"/>
          <w:szCs w:val="20"/>
          <w:color w:val="auto"/>
        </w:rPr>
      </w:pPr>
      <w:r>
        <w:rPr>
          <w:rFonts w:ascii="Arial" w:cs="Arial" w:eastAsia="Arial" w:hAnsi="Arial"/>
          <w:sz w:val="22"/>
          <w:szCs w:val="22"/>
          <w:color w:val="auto"/>
        </w:rPr>
        <w:t>EXHIBIT 1.1(A) - ASSIGNMENT AND ASSUMPTION AGREEMENT EXHIBIT 1.1(B) - BORROWER JOINDER EXHIBIT 1.1(G)(1) - GUARANTOR JOINDER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EXHIBIT 1.1(G)(2) - GUARANTY AGREEMENT</w:t>
      </w:r>
    </w:p>
    <w:p>
      <w:pPr>
        <w:spacing w:after="0" w:line="4" w:lineRule="exact"/>
        <w:rPr>
          <w:sz w:val="20"/>
          <w:szCs w:val="20"/>
          <w:color w:val="auto"/>
        </w:rPr>
      </w:pPr>
    </w:p>
    <w:p>
      <w:pPr>
        <w:ind w:right="4800"/>
        <w:spacing w:after="0" w:line="243" w:lineRule="auto"/>
        <w:rPr>
          <w:sz w:val="20"/>
          <w:szCs w:val="20"/>
          <w:color w:val="auto"/>
        </w:rPr>
      </w:pPr>
      <w:r>
        <w:rPr>
          <w:rFonts w:ascii="Arial" w:cs="Arial" w:eastAsia="Arial" w:hAnsi="Arial"/>
          <w:sz w:val="22"/>
          <w:szCs w:val="22"/>
          <w:color w:val="auto"/>
        </w:rPr>
        <w:t>EXHIBIT 1.1(I) - INTERCOMPANY SUBORDINATION AGREEMENT EXHIBIT 1.1(L) - LENDER JOINDER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EXHIBIT 1.1(N)(1) - REVOLVING CREDIT NOTE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1.1(N)(2) - SWING LOAN NOTE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1.1(N)(3) - TERM NOTE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1.1(P) - PLEDGE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1.1(S) - SECURITY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2.4.1 - LOAN REQUEST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2.4.2 - SWING LOAN REQUEST</w:t>
      </w:r>
    </w:p>
    <w:p>
      <w:pPr>
        <w:spacing w:after="0" w:line="4" w:lineRule="exact"/>
        <w:rPr>
          <w:sz w:val="20"/>
          <w:szCs w:val="20"/>
          <w:color w:val="auto"/>
        </w:rPr>
      </w:pPr>
    </w:p>
    <w:p>
      <w:pPr>
        <w:ind w:left="2600" w:hanging="2592"/>
        <w:spacing w:after="0" w:line="243" w:lineRule="auto"/>
        <w:rPr>
          <w:sz w:val="20"/>
          <w:szCs w:val="20"/>
          <w:color w:val="auto"/>
        </w:rPr>
      </w:pPr>
      <w:r>
        <w:rPr>
          <w:rFonts w:ascii="Arial" w:cs="Arial" w:eastAsia="Arial" w:hAnsi="Arial"/>
          <w:sz w:val="22"/>
          <w:szCs w:val="22"/>
          <w:color w:val="auto"/>
        </w:rPr>
        <w:t>EXHIBIT 5.9.7(A) - U.S. TAX COMPLIANCE CERTIFICATE (For Foreign Lenders That Are Not Partnerships For U.S. Federal Income Tax Purposes)</w:t>
      </w:r>
    </w:p>
    <w:p>
      <w:pPr>
        <w:spacing w:after="0" w:line="1" w:lineRule="exact"/>
        <w:rPr>
          <w:sz w:val="20"/>
          <w:szCs w:val="20"/>
          <w:color w:val="auto"/>
        </w:rPr>
      </w:pPr>
    </w:p>
    <w:p>
      <w:pPr>
        <w:ind w:left="2600" w:right="380" w:hanging="2592"/>
        <w:spacing w:after="0" w:line="243" w:lineRule="auto"/>
        <w:rPr>
          <w:sz w:val="20"/>
          <w:szCs w:val="20"/>
          <w:color w:val="auto"/>
        </w:rPr>
      </w:pPr>
      <w:r>
        <w:rPr>
          <w:rFonts w:ascii="Arial" w:cs="Arial" w:eastAsia="Arial" w:hAnsi="Arial"/>
          <w:sz w:val="22"/>
          <w:szCs w:val="22"/>
          <w:color w:val="auto"/>
        </w:rPr>
        <w:t>EXHIBIT 5.9.7(B) - U.S. TAX COMPLIANCE CERTIFICATE (For Foreign Participants That Are Not Partnerships For U.S. Federal Income Tax Purposes)</w:t>
      </w:r>
    </w:p>
    <w:p>
      <w:pPr>
        <w:spacing w:after="0" w:line="1" w:lineRule="exact"/>
        <w:rPr>
          <w:sz w:val="20"/>
          <w:szCs w:val="20"/>
          <w:color w:val="auto"/>
        </w:rPr>
      </w:pPr>
    </w:p>
    <w:p>
      <w:pPr>
        <w:ind w:left="2600" w:right="60" w:hanging="2592"/>
        <w:spacing w:after="0" w:line="243" w:lineRule="auto"/>
        <w:rPr>
          <w:sz w:val="20"/>
          <w:szCs w:val="20"/>
          <w:color w:val="auto"/>
        </w:rPr>
      </w:pPr>
      <w:r>
        <w:rPr>
          <w:rFonts w:ascii="Arial" w:cs="Arial" w:eastAsia="Arial" w:hAnsi="Arial"/>
          <w:sz w:val="22"/>
          <w:szCs w:val="22"/>
          <w:color w:val="auto"/>
        </w:rPr>
        <w:t>EXHIBIT 5.9.7(C) - U.S. TAX COMPLIANCE CERTIFICATE (For Foreign Participants That Are Partnerships For U.S. Federal Income Tax Purposes)</w:t>
      </w:r>
    </w:p>
    <w:p>
      <w:pPr>
        <w:spacing w:after="0" w:line="1" w:lineRule="exact"/>
        <w:rPr>
          <w:sz w:val="20"/>
          <w:szCs w:val="20"/>
          <w:color w:val="auto"/>
        </w:rPr>
      </w:pPr>
    </w:p>
    <w:p>
      <w:pPr>
        <w:ind w:left="2600" w:right="380" w:hanging="2592"/>
        <w:spacing w:after="0" w:line="243" w:lineRule="auto"/>
        <w:rPr>
          <w:sz w:val="20"/>
          <w:szCs w:val="20"/>
          <w:color w:val="auto"/>
        </w:rPr>
      </w:pPr>
      <w:r>
        <w:rPr>
          <w:rFonts w:ascii="Arial" w:cs="Arial" w:eastAsia="Arial" w:hAnsi="Arial"/>
          <w:sz w:val="22"/>
          <w:szCs w:val="22"/>
          <w:color w:val="auto"/>
        </w:rPr>
        <w:t>EXHIBIT 5.9.7(D) - U.S. TAX COMPLIANCE CERTIFICATE (For Foreign Lenders That Are Partnerships For U.S. Federal Income Tax Purposes)</w:t>
      </w:r>
    </w:p>
    <w:p>
      <w:pPr>
        <w:spacing w:after="0" w:line="1" w:lineRule="exact"/>
        <w:rPr>
          <w:sz w:val="20"/>
          <w:szCs w:val="20"/>
          <w:color w:val="auto"/>
        </w:rPr>
      </w:pPr>
    </w:p>
    <w:p>
      <w:pPr>
        <w:ind w:right="5500"/>
        <w:spacing w:after="0" w:line="270" w:lineRule="auto"/>
        <w:rPr>
          <w:sz w:val="20"/>
          <w:szCs w:val="20"/>
          <w:color w:val="auto"/>
        </w:rPr>
      </w:pPr>
      <w:r>
        <w:rPr>
          <w:rFonts w:ascii="Arial" w:cs="Arial" w:eastAsia="Arial" w:hAnsi="Arial"/>
          <w:sz w:val="21"/>
          <w:szCs w:val="21"/>
          <w:color w:val="auto"/>
        </w:rPr>
        <w:t>EXHIBIT 8.2.6 - ACQUISITION COMPLIANCE CERTIFICATE EXHIBIT 8.3.3 - QUARTERLY COMPLIANCE CERTIFICATE</w:t>
      </w:r>
    </w:p>
    <w:p>
      <w:pPr>
        <w:sectPr>
          <w:pgSz w:w="11900" w:h="16838" w:orient="portrait"/>
          <w:cols w:equalWidth="0" w:num="1">
            <w:col w:w="11280"/>
          </w:cols>
          <w:pgMar w:left="240" w:top="1422"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THIRD AMENDED AND RESTATED CREDIT AGREEMENT</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THIS THIRD AMENDED AND RESTATED CREDIT AGREEMENT (as hereafter amended,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dated as of April 30, 2019 and is made by and among </w:t>
      </w:r>
      <w:r>
        <w:rPr>
          <w:rFonts w:ascii="Arial" w:cs="Arial" w:eastAsia="Arial" w:hAnsi="Arial"/>
          <w:sz w:val="19"/>
          <w:szCs w:val="19"/>
          <w:b w:val="1"/>
          <w:bCs w:val="1"/>
          <w:color w:val="auto"/>
        </w:rPr>
        <w:t>L.B. FOSTER COMPANY</w:t>
      </w:r>
      <w:r>
        <w:rPr>
          <w:rFonts w:ascii="Arial" w:cs="Arial" w:eastAsia="Arial" w:hAnsi="Arial"/>
          <w:sz w:val="19"/>
          <w:szCs w:val="19"/>
          <w:color w:val="auto"/>
        </w:rPr>
        <w:t>, a Pennsylvania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CXT</w:t>
      </w:r>
      <w:r>
        <w:rPr>
          <w:rFonts w:ascii="Arial" w:cs="Arial" w:eastAsia="Arial" w:hAnsi="Arial"/>
          <w:sz w:val="19"/>
          <w:szCs w:val="19"/>
          <w:color w:val="auto"/>
        </w:rPr>
        <w:t xml:space="preserve"> </w:t>
      </w:r>
      <w:r>
        <w:rPr>
          <w:rFonts w:ascii="Arial" w:cs="Arial" w:eastAsia="Arial" w:hAnsi="Arial"/>
          <w:sz w:val="19"/>
          <w:szCs w:val="19"/>
          <w:b w:val="1"/>
          <w:bCs w:val="1"/>
          <w:color w:val="auto"/>
        </w:rPr>
        <w:t>INCORPORATED</w:t>
      </w:r>
      <w:r>
        <w:rPr>
          <w:rFonts w:ascii="Arial" w:cs="Arial" w:eastAsia="Arial" w:hAnsi="Arial"/>
          <w:sz w:val="19"/>
          <w:szCs w:val="19"/>
          <w:color w:val="auto"/>
        </w:rPr>
        <w:t>, a Delaware corporation ("</w:t>
      </w:r>
      <w:r>
        <w:rPr>
          <w:rFonts w:ascii="Arial" w:cs="Arial" w:eastAsia="Arial" w:hAnsi="Arial"/>
          <w:sz w:val="19"/>
          <w:szCs w:val="19"/>
          <w:b w:val="1"/>
          <w:bCs w:val="1"/>
          <w:color w:val="auto"/>
        </w:rPr>
        <w:t>CXT</w:t>
      </w:r>
      <w:r>
        <w:rPr>
          <w:rFonts w:ascii="Arial" w:cs="Arial" w:eastAsia="Arial" w:hAnsi="Arial"/>
          <w:sz w:val="19"/>
          <w:szCs w:val="19"/>
          <w:color w:val="auto"/>
        </w:rPr>
        <w:t>"),</w:t>
      </w:r>
      <w:r>
        <w:rPr>
          <w:rFonts w:ascii="Arial" w:cs="Arial" w:eastAsia="Arial" w:hAnsi="Arial"/>
          <w:sz w:val="19"/>
          <w:szCs w:val="19"/>
          <w:b w:val="1"/>
          <w:bCs w:val="1"/>
          <w:color w:val="auto"/>
        </w:rPr>
        <w:t xml:space="preserve"> SALIENT SYSTEMS, INC</w:t>
      </w:r>
      <w:r>
        <w:rPr>
          <w:rFonts w:ascii="Arial" w:cs="Arial" w:eastAsia="Arial" w:hAnsi="Arial"/>
          <w:sz w:val="19"/>
          <w:szCs w:val="19"/>
          <w:color w:val="auto"/>
        </w:rPr>
        <w:t>., an Ohio corporation ("</w:t>
      </w:r>
      <w:r>
        <w:rPr>
          <w:rFonts w:ascii="Arial" w:cs="Arial" w:eastAsia="Arial" w:hAnsi="Arial"/>
          <w:sz w:val="19"/>
          <w:szCs w:val="19"/>
          <w:b w:val="1"/>
          <w:bCs w:val="1"/>
          <w:color w:val="auto"/>
        </w:rPr>
        <w:t>Salient Systems</w:t>
      </w:r>
      <w:r>
        <w:rPr>
          <w:rFonts w:ascii="Arial" w:cs="Arial" w:eastAsia="Arial" w:hAnsi="Arial"/>
          <w:sz w:val="19"/>
          <w:szCs w:val="19"/>
          <w:color w:val="auto"/>
        </w:rPr>
        <w:t>"),</w:t>
      </w:r>
      <w:r>
        <w:rPr>
          <w:rFonts w:ascii="Arial" w:cs="Arial" w:eastAsia="Arial" w:hAnsi="Arial"/>
          <w:sz w:val="19"/>
          <w:szCs w:val="19"/>
          <w:b w:val="1"/>
          <w:bCs w:val="1"/>
          <w:color w:val="auto"/>
        </w:rPr>
        <w:t xml:space="preserve"> L.B. FOSTER RAIL TECHNOLOGIES, INC.</w:t>
      </w:r>
      <w:r>
        <w:rPr>
          <w:rFonts w:ascii="Arial" w:cs="Arial" w:eastAsia="Arial" w:hAnsi="Arial"/>
          <w:sz w:val="19"/>
          <w:szCs w:val="19"/>
          <w:color w:val="auto"/>
        </w:rPr>
        <w:t>, a West Virginia corporation ("</w:t>
      </w:r>
      <w:r>
        <w:rPr>
          <w:rFonts w:ascii="Arial" w:cs="Arial" w:eastAsia="Arial" w:hAnsi="Arial"/>
          <w:sz w:val="19"/>
          <w:szCs w:val="19"/>
          <w:b w:val="1"/>
          <w:bCs w:val="1"/>
          <w:color w:val="auto"/>
        </w:rPr>
        <w:t>Rail Technologies, Inc.</w:t>
      </w:r>
      <w:r>
        <w:rPr>
          <w:rFonts w:ascii="Arial" w:cs="Arial" w:eastAsia="Arial" w:hAnsi="Arial"/>
          <w:sz w:val="19"/>
          <w:szCs w:val="19"/>
          <w:color w:val="auto"/>
        </w:rPr>
        <w:t>"),</w:t>
      </w:r>
      <w:r>
        <w:rPr>
          <w:rFonts w:ascii="Arial" w:cs="Arial" w:eastAsia="Arial" w:hAnsi="Arial"/>
          <w:sz w:val="19"/>
          <w:szCs w:val="19"/>
          <w:b w:val="1"/>
          <w:bCs w:val="1"/>
          <w:color w:val="auto"/>
        </w:rPr>
        <w:t xml:space="preserve"> L.B. FOSTER RAIL TECHNOLOGIES CANADA LTD</w:t>
      </w:r>
      <w:r>
        <w:rPr>
          <w:rFonts w:ascii="Arial" w:cs="Arial" w:eastAsia="Arial" w:hAnsi="Arial"/>
          <w:sz w:val="19"/>
          <w:szCs w:val="19"/>
          <w:color w:val="auto"/>
        </w:rPr>
        <w:t>., a corporation incorporated under the laws of Canada ("</w:t>
      </w:r>
      <w:r>
        <w:rPr>
          <w:rFonts w:ascii="Arial" w:cs="Arial" w:eastAsia="Arial" w:hAnsi="Arial"/>
          <w:sz w:val="19"/>
          <w:szCs w:val="19"/>
          <w:b w:val="1"/>
          <w:bCs w:val="1"/>
          <w:color w:val="auto"/>
        </w:rPr>
        <w:t>Rail Technologies Canada</w:t>
      </w:r>
      <w:r>
        <w:rPr>
          <w:rFonts w:ascii="Arial" w:cs="Arial" w:eastAsia="Arial" w:hAnsi="Arial"/>
          <w:sz w:val="19"/>
          <w:szCs w:val="19"/>
          <w:color w:val="auto"/>
        </w:rPr>
        <w:t>"),</w:t>
      </w:r>
      <w:r>
        <w:rPr>
          <w:rFonts w:ascii="Arial" w:cs="Arial" w:eastAsia="Arial" w:hAnsi="Arial"/>
          <w:sz w:val="19"/>
          <w:szCs w:val="19"/>
          <w:b w:val="1"/>
          <w:bCs w:val="1"/>
          <w:color w:val="auto"/>
        </w:rPr>
        <w:t xml:space="preserve"> L.B. FOSTER RAIL TECHNOLOGIES, CORP.</w:t>
      </w:r>
      <w:r>
        <w:rPr>
          <w:rFonts w:ascii="Arial" w:cs="Arial" w:eastAsia="Arial" w:hAnsi="Arial"/>
          <w:sz w:val="19"/>
          <w:szCs w:val="19"/>
          <w:color w:val="auto"/>
        </w:rPr>
        <w:t>, a corporation amalgamated under the laws of Canada ("</w:t>
      </w:r>
      <w:r>
        <w:rPr>
          <w:rFonts w:ascii="Arial" w:cs="Arial" w:eastAsia="Arial" w:hAnsi="Arial"/>
          <w:sz w:val="19"/>
          <w:szCs w:val="19"/>
          <w:b w:val="1"/>
          <w:bCs w:val="1"/>
          <w:color w:val="auto"/>
        </w:rPr>
        <w:t>Rail Technologies, Corp.</w:t>
      </w:r>
      <w:r>
        <w:rPr>
          <w:rFonts w:ascii="Arial" w:cs="Arial" w:eastAsia="Arial" w:hAnsi="Arial"/>
          <w:sz w:val="19"/>
          <w:szCs w:val="19"/>
          <w:color w:val="auto"/>
        </w:rPr>
        <w:t>"),</w:t>
      </w:r>
      <w:r>
        <w:rPr>
          <w:rFonts w:ascii="Arial" w:cs="Arial" w:eastAsia="Arial" w:hAnsi="Arial"/>
          <w:sz w:val="19"/>
          <w:szCs w:val="19"/>
          <w:b w:val="1"/>
          <w:bCs w:val="1"/>
          <w:color w:val="auto"/>
        </w:rPr>
        <w:t xml:space="preserve"> L.B. FOSTER RAIL TECHNOLOGIES (UK) LIMITED</w:t>
      </w:r>
      <w:r>
        <w:rPr>
          <w:rFonts w:ascii="Arial" w:cs="Arial" w:eastAsia="Arial" w:hAnsi="Arial"/>
          <w:sz w:val="19"/>
          <w:szCs w:val="19"/>
          <w:color w:val="auto"/>
        </w:rPr>
        <w:t>, a private limited company existing under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England and Wales ("</w:t>
      </w:r>
      <w:r>
        <w:rPr>
          <w:rFonts w:ascii="Arial" w:cs="Arial" w:eastAsia="Arial" w:hAnsi="Arial"/>
          <w:sz w:val="19"/>
          <w:szCs w:val="19"/>
          <w:b w:val="1"/>
          <w:bCs w:val="1"/>
          <w:color w:val="auto"/>
        </w:rPr>
        <w:t>Rail Technologies (UK)</w:t>
      </w:r>
      <w:r>
        <w:rPr>
          <w:rFonts w:ascii="Arial" w:cs="Arial" w:eastAsia="Arial" w:hAnsi="Arial"/>
          <w:sz w:val="19"/>
          <w:szCs w:val="19"/>
          <w:color w:val="auto"/>
        </w:rPr>
        <w:t xml:space="preserve">"), </w:t>
      </w:r>
      <w:r>
        <w:rPr>
          <w:rFonts w:ascii="Arial" w:cs="Arial" w:eastAsia="Arial" w:hAnsi="Arial"/>
          <w:sz w:val="19"/>
          <w:szCs w:val="19"/>
          <w:b w:val="1"/>
          <w:bCs w:val="1"/>
          <w:color w:val="auto"/>
        </w:rPr>
        <w:t>TEW ENGINEERING LIMITED</w:t>
      </w:r>
      <w:r>
        <w:rPr>
          <w:rFonts w:ascii="Arial" w:cs="Arial" w:eastAsia="Arial" w:hAnsi="Arial"/>
          <w:sz w:val="19"/>
          <w:szCs w:val="19"/>
          <w:color w:val="auto"/>
        </w:rPr>
        <w:t>, a private limited company existing under the laws of England and Wales ("</w:t>
      </w:r>
      <w:r>
        <w:rPr>
          <w:rFonts w:ascii="Arial" w:cs="Arial" w:eastAsia="Arial" w:hAnsi="Arial"/>
          <w:sz w:val="19"/>
          <w:szCs w:val="19"/>
          <w:b w:val="1"/>
          <w:bCs w:val="1"/>
          <w:color w:val="auto"/>
        </w:rPr>
        <w:t>TEW Engineering</w:t>
      </w:r>
      <w:r>
        <w:rPr>
          <w:rFonts w:ascii="Arial" w:cs="Arial" w:eastAsia="Arial" w:hAnsi="Arial"/>
          <w:sz w:val="19"/>
          <w:szCs w:val="19"/>
          <w:color w:val="auto"/>
        </w:rPr>
        <w:t xml:space="preserve">"), </w:t>
      </w:r>
      <w:r>
        <w:rPr>
          <w:rFonts w:ascii="Arial" w:cs="Arial" w:eastAsia="Arial" w:hAnsi="Arial"/>
          <w:sz w:val="19"/>
          <w:szCs w:val="19"/>
          <w:b w:val="1"/>
          <w:bCs w:val="1"/>
          <w:color w:val="auto"/>
        </w:rPr>
        <w:t>NETPRACTISE LIMITED</w:t>
      </w:r>
      <w:r>
        <w:rPr>
          <w:rFonts w:ascii="Arial" w:cs="Arial" w:eastAsia="Arial" w:hAnsi="Arial"/>
          <w:sz w:val="19"/>
          <w:szCs w:val="19"/>
          <w:color w:val="auto"/>
        </w:rPr>
        <w:t>, a private limited company existing under the laws of England and Wales ("</w:t>
      </w:r>
      <w:r>
        <w:rPr>
          <w:rFonts w:ascii="Arial" w:cs="Arial" w:eastAsia="Arial" w:hAnsi="Arial"/>
          <w:sz w:val="19"/>
          <w:szCs w:val="19"/>
          <w:b w:val="1"/>
          <w:bCs w:val="1"/>
          <w:color w:val="auto"/>
        </w:rPr>
        <w:t>Netpractise</w:t>
      </w:r>
      <w:r>
        <w:rPr>
          <w:rFonts w:ascii="Arial" w:cs="Arial" w:eastAsia="Arial" w:hAnsi="Arial"/>
          <w:sz w:val="19"/>
          <w:szCs w:val="19"/>
          <w:color w:val="auto"/>
        </w:rPr>
        <w:t xml:space="preserve">"), and </w:t>
      </w:r>
      <w:r>
        <w:rPr>
          <w:rFonts w:ascii="Arial" w:cs="Arial" w:eastAsia="Arial" w:hAnsi="Arial"/>
          <w:sz w:val="19"/>
          <w:szCs w:val="19"/>
          <w:b w:val="1"/>
          <w:bCs w:val="1"/>
          <w:color w:val="auto"/>
        </w:rPr>
        <w:t>TEW PLUS LIMITED</w:t>
      </w:r>
      <w:r>
        <w:rPr>
          <w:rFonts w:ascii="Arial" w:cs="Arial" w:eastAsia="Arial" w:hAnsi="Arial"/>
          <w:sz w:val="19"/>
          <w:szCs w:val="19"/>
          <w:color w:val="auto"/>
        </w:rPr>
        <w:t>, a private limited company existing under the laws of England and Wales ("</w:t>
      </w:r>
      <w:r>
        <w:rPr>
          <w:rFonts w:ascii="Arial" w:cs="Arial" w:eastAsia="Arial" w:hAnsi="Arial"/>
          <w:sz w:val="19"/>
          <w:szCs w:val="19"/>
          <w:b w:val="1"/>
          <w:bCs w:val="1"/>
          <w:color w:val="auto"/>
        </w:rPr>
        <w:t>TEW Plus</w:t>
      </w:r>
      <w:r>
        <w:rPr>
          <w:rFonts w:ascii="Arial" w:cs="Arial" w:eastAsia="Arial" w:hAnsi="Arial"/>
          <w:sz w:val="19"/>
          <w:szCs w:val="19"/>
          <w:color w:val="auto"/>
        </w:rPr>
        <w:t>" and together with the Company, CXT, Salient Systems, Rail Technologies, Inc., Rail Technologies Canada, Rail Technologies, Corp., Rail Technologies (UK), TEW Engineering, Netpractise, and each Person joining this Agreement as a Borrower from time to time, collectively referred to herein as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each of the </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(as hereinafter defined) from time to time a party hereto,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(as hereinafter defined) from time to time a party hereto, </w:t>
      </w:r>
      <w:r>
        <w:rPr>
          <w:rFonts w:ascii="Arial" w:cs="Arial" w:eastAsia="Arial" w:hAnsi="Arial"/>
          <w:sz w:val="19"/>
          <w:szCs w:val="19"/>
          <w:b w:val="1"/>
          <w:bCs w:val="1"/>
          <w:color w:val="auto"/>
        </w:rPr>
        <w:t>PNC BANK, NATIONAL ASSOCIATION</w:t>
      </w:r>
      <w:r>
        <w:rPr>
          <w:rFonts w:ascii="Arial" w:cs="Arial" w:eastAsia="Arial" w:hAnsi="Arial"/>
          <w:sz w:val="19"/>
          <w:szCs w:val="19"/>
          <w:color w:val="auto"/>
        </w:rPr>
        <w:t>, in its capacity as administrative agent for the Lenders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(hereinafter referred to in such capacity as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Bank of America, N.A., as a Co-Syndication Agent, Citizens Bank, N.A., as a Co-Syndication Agent and Wells Fargo Bank, National Association, as a Co-Syndication Agent.</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Borrowers, the Administrative Agent, and certain of the Lenders hereunder are parties to a Second Amended and Restated Credit Agreement, dated as of March 13, 2015 (as amended to the date hereof, the "</w:t>
      </w:r>
      <w:r>
        <w:rPr>
          <w:rFonts w:ascii="Arial" w:cs="Arial" w:eastAsia="Arial" w:hAnsi="Arial"/>
          <w:sz w:val="22"/>
          <w:szCs w:val="22"/>
          <w:b w:val="1"/>
          <w:bCs w:val="1"/>
          <w:color w:val="auto"/>
        </w:rPr>
        <w:t>Existing Credit Agreement</w:t>
      </w:r>
      <w:r>
        <w:rPr>
          <w:rFonts w:ascii="Arial" w:cs="Arial" w:eastAsia="Arial" w:hAnsi="Arial"/>
          <w:sz w:val="22"/>
          <w:szCs w:val="22"/>
          <w:color w:val="auto"/>
        </w:rPr>
        <w:t>"), providing for a revolving credit facility and a term loan; and</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The Borrowers have requested that the Lenders amend and restate the Existing Credit Agreement to provide (i) a revolving credit facility to the Borrowers in an aggregate principal amount not to exceed $140,000,000, with sublimits for (a) the issuance of Letters of Credit in Dollars and in Optional Currencies in an amount not to exceed $30,000,000, (b) borrowings of Swing Loans in Dollars in an amount not to exceed $15,000,000, and (c) borrowings in Optional Currencies in an amount not to exceed $25,000,000; and with an incremental loan feature not to exceed $50,000,000, and (ii) a $25,000,000.00 term loan facility. In consideration of their mutual covenants and agreements hereinafter set forth and intending to be legally bound hereby, the parties hereto covenant and agree as follows:</w:t>
      </w:r>
    </w:p>
    <w:p>
      <w:pPr>
        <w:sectPr>
          <w:pgSz w:w="11900" w:h="16838" w:orient="portrait"/>
          <w:cols w:equalWidth="0" w:num="1">
            <w:col w:w="11420"/>
          </w:cols>
          <w:pgMar w:left="240" w:top="1422" w:right="239" w:bottom="1440" w:gutter="0" w:footer="0" w:header="0"/>
        </w:sectPr>
      </w:pPr>
    </w:p>
    <w:bookmarkStart w:id="15" w:name="page16"/>
    <w:bookmarkEnd w:id="15"/>
    <w:p>
      <w:pPr>
        <w:ind w:left="4660" w:hanging="206"/>
        <w:spacing w:after="0"/>
        <w:tabs>
          <w:tab w:leader="none" w:pos="46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p>
    <w:p>
      <w:pPr>
        <w:spacing w:after="0" w:line="220" w:lineRule="exact"/>
        <w:rPr>
          <w:sz w:val="20"/>
          <w:szCs w:val="20"/>
          <w:color w:val="auto"/>
        </w:rPr>
      </w:pPr>
    </w:p>
    <w:p>
      <w:pPr>
        <w:ind w:left="80" w:right="500" w:firstLine="648"/>
        <w:spacing w:after="0" w:line="34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Certain Definitions</w:t>
      </w:r>
      <w:r>
        <w:rPr>
          <w:rFonts w:ascii="Arial" w:cs="Arial" w:eastAsia="Arial" w:hAnsi="Arial"/>
          <w:sz w:val="19"/>
          <w:szCs w:val="19"/>
          <w:color w:val="auto"/>
        </w:rPr>
        <w:t>. In addition to words and terms defined elsewhere in this Agreement, the following words and terms shall have the following meanings, respectively, unless the context hereof clearly requires otherwise:</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Acquisition Compliance Certificate</w:t>
      </w:r>
      <w:r>
        <w:rPr>
          <w:rFonts w:ascii="Arial" w:cs="Arial" w:eastAsia="Arial" w:hAnsi="Arial"/>
          <w:sz w:val="22"/>
          <w:szCs w:val="22"/>
          <w:color w:val="auto"/>
        </w:rPr>
        <w:t xml:space="preserve"> shall mean a compliance certificate substantially in the form of Exhibit 8.2.6 or any other form approved by the Administrative Agent.</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u w:val="single" w:color="auto"/>
          <w:color w:val="auto"/>
        </w:rPr>
        <w:t>Acquisition Period</w:t>
      </w:r>
      <w:r>
        <w:rPr>
          <w:rFonts w:ascii="Arial" w:cs="Arial" w:eastAsia="Arial" w:hAnsi="Arial"/>
          <w:sz w:val="21"/>
          <w:szCs w:val="21"/>
          <w:color w:val="auto"/>
        </w:rPr>
        <w:t xml:space="preserve"> shall mean a period of four (4) consecutive fiscal quarters of the Loan Parties beginning with a fiscal quarter during which a Loan Party consummates a Permitted Acquisition for which the aggregate consideration payable exceeds Twenty-Five Million and 00/100 Dollars ($25,000,000), and including such fiscal quarter and the immediately three (3) succeeding fiscal quarters. The Loan Parties may elect to designate in writing to the Administrative Agent the commencement of an Acquisition Period (which election shall be made prior to the last day of the fiscal quarter in which the relevant Permitted Acquisition is consummated); provided that (a) only two (2) Acquisition Periods shall be designated during the term of this Agreement, (b) no more than one (1) Acquisition Period may be invoked by the Loan Parties at any one time, and (c) the maximum Gross Leverage Ratio set forth in Section 8.2.13 [Maximum Gross Leverage Ratio] hereof shall not exceed 3.25 to 1.00 for at least two (2) full consecutive fiscal quarters of the Loan Parties before the second Acquisition Period may be invoked by the Loan Parties.</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shall mean PNC Bank, National Association, and its successors and assigns, in its capacity as administrative agent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Administrative Agent's Fee</w:t>
      </w:r>
      <w:r>
        <w:rPr>
          <w:rFonts w:ascii="Arial" w:cs="Arial" w:eastAsia="Arial" w:hAnsi="Arial"/>
          <w:sz w:val="21"/>
          <w:szCs w:val="21"/>
          <w:color w:val="auto"/>
        </w:rPr>
        <w:t xml:space="preserve"> shall have the meaning specified in Section 10.9 [Administrative Agent's Fee].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Administrative Agent's Letter</w:t>
      </w:r>
      <w:r>
        <w:rPr>
          <w:rFonts w:ascii="Arial" w:cs="Arial" w:eastAsia="Arial" w:hAnsi="Arial"/>
          <w:sz w:val="21"/>
          <w:szCs w:val="21"/>
          <w:color w:val="auto"/>
        </w:rPr>
        <w:t xml:space="preserve"> shall have the meaning specified in Section 10.9 [Administrative Agent's Fee].</w:t>
      </w:r>
    </w:p>
    <w:p>
      <w:pPr>
        <w:spacing w:after="0" w:line="23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as to any Person shall mean any other Person (i) which directly or indirectly controls, is controlled by, or is under common control with such Person, (ii) which beneficially owns or holds 20% or more of any class of the voting or other equity interests of such Person, or (iii) 20%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AML Legislation</w:t>
      </w:r>
      <w:r>
        <w:rPr>
          <w:rFonts w:ascii="Arial" w:cs="Arial" w:eastAsia="Arial" w:hAnsi="Arial"/>
          <w:sz w:val="22"/>
          <w:szCs w:val="22"/>
          <w:color w:val="auto"/>
        </w:rPr>
        <w:t xml:space="preserve"> shall have the meaning specified in Section 10.10.</w:t>
      </w:r>
    </w:p>
    <w:p>
      <w:pPr>
        <w:spacing w:after="0" w:line="22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Anti-Terrorism Laws</w:t>
      </w:r>
      <w:r>
        <w:rPr>
          <w:rFonts w:ascii="Arial" w:cs="Arial" w:eastAsia="Arial" w:hAnsi="Arial"/>
          <w:sz w:val="19"/>
          <w:szCs w:val="19"/>
          <w:color w:val="auto"/>
        </w:rPr>
        <w:t xml:space="preserve"> shall mean any Laws relating to terrorism, trade sanctions programs and embargoes, import/export licensing, money laundering or bribery, and any regulation, order, or directive promulgated, issued or enforced pursuant to such Laws, including the Proceeds of Crime (Money Laundering) &amp; Terrorist Financing Act (Canada),the Corruption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1428" w:right="239" w:bottom="1440" w:gutter="0" w:footer="0" w:header="0"/>
        </w:sectPr>
      </w:pPr>
    </w:p>
    <w:bookmarkStart w:id="16" w:name="page17"/>
    <w:bookmarkEnd w:id="16"/>
    <w:p>
      <w:pPr>
        <w:jc w:val="both"/>
        <w:spacing w:after="0" w:line="265" w:lineRule="auto"/>
        <w:rPr>
          <w:sz w:val="20"/>
          <w:szCs w:val="20"/>
          <w:color w:val="auto"/>
        </w:rPr>
      </w:pPr>
      <w:r>
        <w:rPr>
          <w:rFonts w:ascii="Arial" w:cs="Arial" w:eastAsia="Arial" w:hAnsi="Arial"/>
          <w:sz w:val="21"/>
          <w:szCs w:val="21"/>
          <w:color w:val="auto"/>
        </w:rPr>
        <w:t>of Foreign Public Officials Act (Canada), the Proceeds of Crime Act 2002 (as amended by the Crime and Courts Act 2013 and the Serious Crime Act 2015), the Money Laundering Regulations 2007 and the Terrorism Act 2000 (as amended by the Anti-Terrorism, Crime and Security Act 2001, the Terrorism Act 2006 and the Terrorism Act 2000 and Proceeds of Crime Act 2002 (Amendment) Regulations 2007) all as amended, supplemented or replaced from time to time.</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Applicable Commitment Fee Rate</w:t>
      </w:r>
      <w:r>
        <w:rPr>
          <w:rFonts w:ascii="Arial" w:cs="Arial" w:eastAsia="Arial" w:hAnsi="Arial"/>
          <w:sz w:val="22"/>
          <w:szCs w:val="22"/>
          <w:color w:val="auto"/>
        </w:rPr>
        <w:t xml:space="preserve"> shall mean the percentage rate per annum based on the Leverage Ratio then in effect according to the pricing grid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below the heading "Commitment Fee".</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Applicable Letter of Credit Fee Rate</w:t>
      </w:r>
      <w:r>
        <w:rPr>
          <w:rFonts w:ascii="Arial" w:cs="Arial" w:eastAsia="Arial" w:hAnsi="Arial"/>
          <w:sz w:val="22"/>
          <w:szCs w:val="22"/>
          <w:color w:val="auto"/>
        </w:rPr>
        <w:t xml:space="preserve"> shall mean the percentage rate per annum based on the Leverage Ratio then in effect according to the pricing grid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below the heading "Standby Letter of Credit Fee" or "Commercial Letter of Credit Fee", as applicable.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shall mean, as applicable:</w:t>
      </w:r>
    </w:p>
    <w:p>
      <w:pPr>
        <w:spacing w:after="0" w:line="220" w:lineRule="exact"/>
        <w:rPr>
          <w:sz w:val="20"/>
          <w:szCs w:val="20"/>
          <w:color w:val="auto"/>
        </w:rPr>
      </w:pPr>
    </w:p>
    <w:p>
      <w:pPr>
        <w:ind w:right="20" w:firstLine="1305"/>
        <w:spacing w:after="0" w:line="343" w:lineRule="auto"/>
        <w:tabs>
          <w:tab w:leader="none" w:pos="165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percentage spread to be added to the Base Rate applicable to Loans under the Base Rate Option based on the Leverage Ratio then in effect according to the pricing grid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below the heading "Base Rate Spread", or</w:t>
      </w:r>
    </w:p>
    <w:p>
      <w:pPr>
        <w:spacing w:after="0" w:line="104" w:lineRule="exact"/>
        <w:rPr>
          <w:rFonts w:ascii="Arial" w:cs="Arial" w:eastAsia="Arial" w:hAnsi="Arial"/>
          <w:sz w:val="19"/>
          <w:szCs w:val="19"/>
          <w:color w:val="auto"/>
        </w:rPr>
      </w:pPr>
    </w:p>
    <w:p>
      <w:pPr>
        <w:ind w:firstLine="1305"/>
        <w:spacing w:after="0" w:line="343" w:lineRule="auto"/>
        <w:tabs>
          <w:tab w:leader="none" w:pos="1639"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percentage spread to be added to the Euro-Rate applicable to Loans under the Euro-Rate Option based on the Leverage Ratio then in effect according to the pricing grid on Schedule 1.1(A) below the heading "Euro-Rate Spread".</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shall mean any fund that is engaged in making, purchasing, holding or investing in bank loans and similar extensions of credit in the ordinary course of business and that is administered or managed by (a) a Lender, (b) an Affiliate of a Lender or (c) an entity or an Affiliate of an entity that administers or manages a Lender.</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Arrangers</w:t>
      </w:r>
      <w:r>
        <w:rPr>
          <w:rFonts w:ascii="Arial" w:cs="Arial" w:eastAsia="Arial" w:hAnsi="Arial"/>
          <w:sz w:val="19"/>
          <w:szCs w:val="19"/>
          <w:color w:val="auto"/>
        </w:rPr>
        <w:t xml:space="preserve"> shall mean collectively, and </w:t>
      </w:r>
      <w:r>
        <w:rPr>
          <w:rFonts w:ascii="Arial" w:cs="Arial" w:eastAsia="Arial" w:hAnsi="Arial"/>
          <w:sz w:val="19"/>
          <w:szCs w:val="19"/>
          <w:u w:val="single" w:color="auto"/>
          <w:color w:val="auto"/>
        </w:rPr>
        <w:t>Arranger</w:t>
      </w:r>
      <w:r>
        <w:rPr>
          <w:rFonts w:ascii="Arial" w:cs="Arial" w:eastAsia="Arial" w:hAnsi="Arial"/>
          <w:sz w:val="19"/>
          <w:szCs w:val="19"/>
          <w:color w:val="auto"/>
        </w:rPr>
        <w:t xml:space="preserve"> shall mean separately, PNC Capital Markets LLC, Merrill Lynch Pierce Fenner &amp; Smith,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Citizens Bank, N.A. and Wells Fargo Securities, LLC.</w:t>
      </w:r>
    </w:p>
    <w:p>
      <w:pPr>
        <w:spacing w:after="0" w:line="143"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Assignment and Assumption Agreement</w:t>
      </w:r>
      <w:r>
        <w:rPr>
          <w:rFonts w:ascii="Arial" w:cs="Arial" w:eastAsia="Arial" w:hAnsi="Arial"/>
          <w:sz w:val="19"/>
          <w:szCs w:val="19"/>
          <w:color w:val="auto"/>
        </w:rPr>
        <w:t xml:space="preserve"> shall mean an assignment and assumption agreement entered into by a Lender and an assignee permitted under Section 12.8 [Successors and Assigns], in substantially the form of </w:t>
      </w:r>
      <w:r>
        <w:rPr>
          <w:rFonts w:ascii="Arial" w:cs="Arial" w:eastAsia="Arial" w:hAnsi="Arial"/>
          <w:sz w:val="19"/>
          <w:szCs w:val="19"/>
          <w:u w:val="single" w:color="auto"/>
          <w:color w:val="auto"/>
        </w:rPr>
        <w:t>Exhibit 1.1(A)</w:t>
      </w:r>
      <w:r>
        <w:rPr>
          <w:rFonts w:ascii="Arial" w:cs="Arial" w:eastAsia="Arial" w:hAnsi="Arial"/>
          <w:sz w:val="19"/>
          <w:szCs w:val="19"/>
          <w:color w:val="auto"/>
        </w:rPr>
        <w:t>.</w:t>
      </w:r>
    </w:p>
    <w:p>
      <w:pPr>
        <w:spacing w:after="0" w:line="10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Authorized Officer</w:t>
      </w:r>
      <w:r>
        <w:rPr>
          <w:rFonts w:ascii="Arial" w:cs="Arial" w:eastAsia="Arial" w:hAnsi="Arial"/>
          <w:sz w:val="19"/>
          <w:szCs w:val="19"/>
          <w:color w:val="auto"/>
        </w:rPr>
        <w:t xml:space="preserve"> shall mean, with respect to any Loan Party, the Chief Executive Officer, President, Chief or Deputy Chief Financial Officer, director, Treasurer or Assistant Treasurer of such Loan Party or such other individuals, designated by written notice to the Administrative Agent from such Loan Party, authorized to execute notices, reports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1428" w:right="2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22"/>
          <w:szCs w:val="22"/>
          <w:color w:val="auto"/>
        </w:rPr>
        <w:t>documents on behalf of the Loan Parties required hereunder. The Loan Parties may amend such list of individuals from time to time by giving written notice of such amendment to the Administrative Agent.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shall mean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Bail-In Legislation</w:t>
      </w:r>
      <w:r>
        <w:rPr>
          <w:rFonts w:ascii="Arial" w:cs="Arial" w:eastAsia="Arial" w:hAnsi="Arial"/>
          <w:sz w:val="22"/>
          <w:szCs w:val="22"/>
          <w:color w:val="auto"/>
        </w:rPr>
        <w:t xml:space="preserve">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Bankruptcy Event</w:t>
      </w:r>
      <w:r>
        <w:rPr>
          <w:rFonts w:ascii="Arial" w:cs="Arial" w:eastAsia="Arial" w:hAnsi="Arial"/>
          <w:sz w:val="22"/>
          <w:szCs w:val="22"/>
          <w:color w:val="auto"/>
        </w:rPr>
        <w:t xml:space="preserve"> shall have the meaning specified in the definition of Defaulting Lender.</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shall mean, for any day, a fluctuating per annum rate of interest equal to the highest of (a) the Overnight Bank Funding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fifty basis points (0.5%), (b) the Prime Rate, or (c) the Daily Euro-Rate,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one hundred basis points (1.0%). Any change in the Base Rate (or any component thereof) shall take effect at the opening of business on the day such change occurs. Notwithstanding the foregoing, if the Base Rate as determined above would be less than zero (0.00), such rate shall be deemed to be zero (0.00) for purposes of this Agreement.</w:t>
      </w:r>
    </w:p>
    <w:p>
      <w:pPr>
        <w:spacing w:after="0" w:line="192"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Base Rate Option</w:t>
      </w:r>
      <w:r>
        <w:rPr>
          <w:rFonts w:ascii="Arial" w:cs="Arial" w:eastAsia="Arial" w:hAnsi="Arial"/>
          <w:sz w:val="19"/>
          <w:szCs w:val="19"/>
          <w:color w:val="auto"/>
        </w:rPr>
        <w:t xml:space="preserve"> shall mean the option of the Borrowers to have Loans bear interest at the rate and under the terms set forth in Section 4.1.1(i) [Revolving Credit Base Rate Option] or Section 4.1.4(i) [Term Loan Base Rate Option], as applicable.</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Beneficial Owner</w:t>
      </w:r>
      <w:r>
        <w:rPr>
          <w:rFonts w:ascii="Arial" w:cs="Arial" w:eastAsia="Arial" w:hAnsi="Arial"/>
          <w:sz w:val="22"/>
          <w:szCs w:val="22"/>
          <w:color w:val="auto"/>
        </w:rPr>
        <w:t xml:space="preserve"> shall mean, for each Foreign Borrower, each of the following: (a) each individual, if any, who, directly or indirectly, owns 25% or more of such Borrower’s Equity Interests; and (b) a single individual with significant responsibility to control, manage, or direct such Borrower.</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shall mean any of (i) an “employee benefit plan” (as defined in ERISA) that is subject to Title I of ERISA, (ii) a “plan” as defined in and subject to Section 4975 of the Code, or (iii) any Person whose assets include (for purposes of ERISA Section 3(42) or otherwise for purposes of Title I of ERISA or Section 4975 of the Code) the assets of any such “employee benefit plan” or “plan”.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Borrower Agent</w:t>
      </w:r>
      <w:r>
        <w:rPr>
          <w:rFonts w:ascii="Arial" w:cs="Arial" w:eastAsia="Arial" w:hAnsi="Arial"/>
          <w:sz w:val="22"/>
          <w:szCs w:val="22"/>
          <w:color w:val="auto"/>
        </w:rPr>
        <w:t xml:space="preserve"> shall have the meaning ascribed to such term in Section 12.13 [Borrower Agent] hereof.</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Borrower Joinder</w:t>
      </w:r>
      <w:r>
        <w:rPr>
          <w:rFonts w:ascii="Arial" w:cs="Arial" w:eastAsia="Arial" w:hAnsi="Arial"/>
          <w:sz w:val="22"/>
          <w:szCs w:val="22"/>
          <w:color w:val="auto"/>
        </w:rPr>
        <w:t xml:space="preserve"> shall mean a joinder by a Person as a Borrower under this Agreement and the other Loan Documents in substantially the form of </w:t>
      </w:r>
      <w:r>
        <w:rPr>
          <w:rFonts w:ascii="Arial" w:cs="Arial" w:eastAsia="Arial" w:hAnsi="Arial"/>
          <w:sz w:val="22"/>
          <w:szCs w:val="22"/>
          <w:u w:val="single" w:color="auto"/>
          <w:color w:val="auto"/>
        </w:rPr>
        <w:t>Exhibit 1.1(B)</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Borrowers</w:t>
      </w:r>
      <w:r>
        <w:rPr>
          <w:rFonts w:ascii="Arial" w:cs="Arial" w:eastAsia="Arial" w:hAnsi="Arial"/>
          <w:sz w:val="22"/>
          <w:szCs w:val="22"/>
          <w:color w:val="auto"/>
        </w:rPr>
        <w:t xml:space="preserve"> shall mean the Company, CXT, Salient Systems, Rail Technologies, Inc., Rail Technologies Canada, Rail Technologies, Corp., Rail Technologies (UK), TEW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1428" w:right="239" w:bottom="1440" w:gutter="0" w:footer="0" w:header="0"/>
        </w:sectPr>
      </w:pPr>
    </w:p>
    <w:bookmarkStart w:id="18" w:name="page19"/>
    <w:bookmarkEnd w:id="18"/>
    <w:p>
      <w:pPr>
        <w:jc w:val="both"/>
        <w:ind w:right="20"/>
        <w:spacing w:after="0" w:line="263" w:lineRule="auto"/>
        <w:rPr>
          <w:sz w:val="20"/>
          <w:szCs w:val="20"/>
          <w:color w:val="auto"/>
        </w:rPr>
      </w:pPr>
      <w:r>
        <w:rPr>
          <w:rFonts w:ascii="Arial" w:cs="Arial" w:eastAsia="Arial" w:hAnsi="Arial"/>
          <w:sz w:val="22"/>
          <w:szCs w:val="22"/>
          <w:color w:val="auto"/>
        </w:rPr>
        <w:t>Engineering, Netpractise, TEW Plus, and any other Person which joins this Agreement as a Borrower after the date hereof, and the successors and assigns of each of the foregoing to the extent permitted under this Agreement.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Borrowing Date</w:t>
      </w:r>
      <w:r>
        <w:rPr>
          <w:rFonts w:ascii="Arial" w:cs="Arial" w:eastAsia="Arial" w:hAnsi="Arial"/>
          <w:sz w:val="22"/>
          <w:szCs w:val="22"/>
          <w:color w:val="auto"/>
        </w:rPr>
        <w:t xml:space="preserve"> shall mean, with respect to any Loan, the date for the making thereof or the renewal or conversion thereof at or to the same or a different Interest Rate Option, which shall be a Business Day.</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u w:val="single" w:color="auto"/>
          <w:color w:val="auto"/>
        </w:rPr>
        <w:t>Borrowing Tranche</w:t>
      </w:r>
      <w:r>
        <w:rPr>
          <w:rFonts w:ascii="Arial" w:cs="Arial" w:eastAsia="Arial" w:hAnsi="Arial"/>
          <w:sz w:val="21"/>
          <w:szCs w:val="21"/>
          <w:color w:val="auto"/>
        </w:rPr>
        <w:t xml:space="preserve"> shall mean specified portions of Loans outstanding as follows: (i) any Euro-Rate Loans denominated in currencies which are available in LIBOR which become subject to the same Loan Request by the Borrowers and which have the same Interest Period shall constitute one Borrowing Tranche, (ii) all Loans to which a Base Rate Option applies shall constitute one Borrowing Tranche, (iii) all Optional Currency Loans denominated in Australian dollars which become subject to same Loan Request by the Borrowers shall each constitute one Borrowing Tranche; (iv) all Optional Currency Loans denominated in Canadian Dollars which become subject to same Loan Request by the Borrowers shall each constitute one Borrowing Tranche; (v) all Optional Currency Loans denominated in Mexican Pesos which become subject to same Loan Request by the Borrowers shall each constitute one Borrowing Tranche; and (iv) all Optional Currency Loans denominated in any other currency which is not available in LIBOR which become subject to the same Loan Request by the Borrowers shall each constitute one Borrowing Tranche.</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shall mean any day other than a Saturday or Sunday or a legal holiday on which commercial banks are authorized or required to be closed for business in Pittsburgh, Pennsylvania, and if the applicable Business Day relates to any Loan to which the Euro-Rate Option applies, such day must also be a day on which dealings are carried on in the Relevant Interbank Market.</w:t>
      </w:r>
    </w:p>
    <w:p>
      <w:pPr>
        <w:spacing w:after="0" w:line="18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Canadian Benefit Plans</w:t>
      </w:r>
      <w:r>
        <w:rPr>
          <w:rFonts w:ascii="Arial" w:cs="Arial" w:eastAsia="Arial" w:hAnsi="Arial"/>
          <w:sz w:val="19"/>
          <w:szCs w:val="19"/>
          <w:color w:val="auto"/>
        </w:rPr>
        <w:t xml:space="preserve"> shall mean any plan, fund, program, or policy, whether or not written, formal or informal, funded or unfunded, insured or uninsured, providing benefits including medical, hospital care, dental, sickness, accident, disability, life insurance, pension, retirement or savings benefits under which any Loan Party has any liability with respect to any employees or former employees, arising from employment in Canada, but excluding any Canadian Pension Plan.</w:t>
      </w:r>
    </w:p>
    <w:p>
      <w:pPr>
        <w:spacing w:after="0" w:line="14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Canadian Borrower</w:t>
      </w:r>
      <w:r>
        <w:rPr>
          <w:rFonts w:ascii="Arial" w:cs="Arial" w:eastAsia="Arial" w:hAnsi="Arial"/>
          <w:sz w:val="22"/>
          <w:szCs w:val="22"/>
          <w:color w:val="auto"/>
        </w:rPr>
        <w:t xml:space="preserve"> shall mean any Borrower incorporated or otherwise organized under the laws of Canada or any province or territory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Canadian Dollar</w:t>
      </w:r>
      <w:r>
        <w:rPr>
          <w:rFonts w:ascii="Arial" w:cs="Arial" w:eastAsia="Arial" w:hAnsi="Arial"/>
          <w:sz w:val="22"/>
          <w:szCs w:val="22"/>
          <w:color w:val="auto"/>
        </w:rPr>
        <w:t xml:space="preserve"> shall mean the lawful money of Canada.</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Canadian Pension Event</w:t>
      </w:r>
      <w:r>
        <w:rPr>
          <w:rFonts w:ascii="Arial" w:cs="Arial" w:eastAsia="Arial" w:hAnsi="Arial"/>
          <w:sz w:val="22"/>
          <w:szCs w:val="22"/>
          <w:color w:val="auto"/>
        </w:rPr>
        <w:t xml:space="preserve"> shall mean (a) the termination or wind-up in whole or in part of any Canadian Pension Plan that contains a defined benefit provision, as such term is defined in subsection 147.1(1) of the Income Tax Act (Canada) or the institution of proceedings by any Official Body to terminate or wind-up in whole or in part or have a trustee or a replacement administrator appointed to administer a Canadian Pension Plan that contains a defined benefit provision, as such term is defined in subsection 147.1(1) of the Income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1428" w:right="239" w:bottom="1440" w:gutter="0" w:footer="0" w:header="0"/>
        </w:sectPr>
      </w:pPr>
    </w:p>
    <w:bookmarkStart w:id="19" w:name="page20"/>
    <w:bookmarkEnd w:id="19"/>
    <w:p>
      <w:pPr>
        <w:jc w:val="both"/>
        <w:spacing w:after="0" w:line="287" w:lineRule="auto"/>
        <w:rPr>
          <w:sz w:val="20"/>
          <w:szCs w:val="20"/>
          <w:color w:val="auto"/>
        </w:rPr>
      </w:pPr>
      <w:r>
        <w:rPr>
          <w:rFonts w:ascii="Arial" w:cs="Arial" w:eastAsia="Arial" w:hAnsi="Arial"/>
          <w:sz w:val="19"/>
          <w:szCs w:val="19"/>
          <w:color w:val="auto"/>
        </w:rPr>
        <w:t>(Canada), (b) the occurrence of an event under the Income Tax Act (Canada) that could reasonably be expected to affect the registered status of any Canadian Pension Plan that contains a defined benefit provision, as such term is defined in subsection 147.1(1) of the Income Tax Act (Canada), (c) the taking of any action with respect to any Canadian Pension Plan which could reasonably be expected to result in a Material Adverse Change, (d) receipt by a Borrower of any order or notice of intention to issue an order from the applicable pension standards regulator or similar Official Body that could reasonably be expected to affect the registered status or cause the termination or wind-up (in whole or in part) of any Canadian Pension Plan that contains a defined benefit provision, as such term is defined in subsection 147.1(1) of the Income Tax Act (Canada), (e) the receipt of notice by the administrator or the funding agent of any failure to remit contributions to a Canadian Pension Plan, where such failure could reasonably be expected to result in a Material Adverse Change, (f) the adoption of any amendment to a Canadian Pension Plan that would require the provision of security pursuant to applicable Law, or (g) any other extraordinary event or condition with respect to a Canadian Pension Plan that could reasonably be expected to result in a Lien or any acceleration of any statutory requirements to fund all or a substantial portion of the unfunded accrued benefit liabilities of such plan.</w:t>
      </w:r>
    </w:p>
    <w:p>
      <w:pPr>
        <w:spacing w:after="0" w:line="1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Canadian Pension Plans</w:t>
      </w:r>
      <w:r>
        <w:rPr>
          <w:rFonts w:ascii="Arial" w:cs="Arial" w:eastAsia="Arial" w:hAnsi="Arial"/>
          <w:sz w:val="22"/>
          <w:szCs w:val="22"/>
          <w:color w:val="auto"/>
        </w:rPr>
        <w:t xml:space="preserve"> shall mean a pension plan that is a “registered pension plan” as defined in subsection 248(1) the Income Tax Act (Canada) and which is maintained or contributed to by, or to which there is or may be an obligation to contribute by any Borrower in respect of its employees or former employees, arising from employment in Canada, but does not include the Canada Pension Plan or the Quebec Pension Plan as maintained by the Government of Canada or the Province of Quebec.</w:t>
      </w:r>
    </w:p>
    <w:p>
      <w:pPr>
        <w:spacing w:after="0" w:line="19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Cash Collateralize</w:t>
      </w:r>
      <w:r>
        <w:rPr>
          <w:rFonts w:ascii="Arial" w:cs="Arial" w:eastAsia="Arial" w:hAnsi="Arial"/>
          <w:sz w:val="19"/>
          <w:szCs w:val="19"/>
          <w:color w:val="auto"/>
        </w:rPr>
        <w:t xml:space="preserve"> means to pledge and deposit with or deliver to Administrative Agent, for the benefit of each Issuing Lender and the Lenders, as collateral for the Letter of Credit Obligations, cash or deposit account balances pursuant to documentation satisfactory to Administrative Agent and the Issuing Lenders (which documents are hereby consented to by the Lenders). Such cash collateral shall be maintained in blocked, interest bearing deposit accounts at the Administrative Agent.</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Cash On Hand</w:t>
      </w:r>
      <w:r>
        <w:rPr>
          <w:rFonts w:ascii="Arial" w:cs="Arial" w:eastAsia="Arial" w:hAnsi="Arial"/>
          <w:sz w:val="22"/>
          <w:szCs w:val="22"/>
          <w:color w:val="auto"/>
        </w:rPr>
        <w:t xml:space="preserve"> shall mean, as of any date of determination, an amount equal to the aggregate amount of all cash and cash equivalents of the Company and its Subsidiaries as of such date, other than cash pledged, escrowed or on deposit to secure performance obligations.</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Cash Management Agreements</w:t>
      </w:r>
      <w:r>
        <w:rPr>
          <w:rFonts w:ascii="Arial" w:cs="Arial" w:eastAsia="Arial" w:hAnsi="Arial"/>
          <w:sz w:val="22"/>
          <w:szCs w:val="22"/>
          <w:color w:val="auto"/>
        </w:rPr>
        <w:t xml:space="preserve"> shall have the meaning specified in Section 2.5.6 [Swing Loans under Cash Management Agreements].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CEA</w:t>
      </w:r>
      <w:r>
        <w:rPr>
          <w:rFonts w:ascii="Arial" w:cs="Arial" w:eastAsia="Arial" w:hAnsi="Arial"/>
          <w:sz w:val="22"/>
          <w:szCs w:val="22"/>
          <w:color w:val="auto"/>
        </w:rPr>
        <w:t xml:space="preserve"> shall mean the Commodity Exchange Act (7 U.S.C.§1 et seq.), as amended from time to time, and any successor statute.</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Certificate of Beneficial Ownership</w:t>
      </w:r>
      <w:r>
        <w:rPr>
          <w:rFonts w:ascii="Arial" w:cs="Arial" w:eastAsia="Arial" w:hAnsi="Arial"/>
          <w:sz w:val="22"/>
          <w:szCs w:val="22"/>
          <w:color w:val="auto"/>
        </w:rPr>
        <w:t xml:space="preserve"> shall mean, for each Foreign Borrower, in form and substance satisfactory to the Administrative Agent (as amended or modified by Administrative Agent from time to time in its sole discretion), certifying, among other things, the Beneficial Owner of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1428" w:right="239" w:bottom="1440" w:gutter="0" w:footer="0" w:header="0"/>
        </w:sectPr>
      </w:pPr>
    </w:p>
    <w:bookmarkStart w:id="20" w:name="page21"/>
    <w:bookmarkEnd w:id="20"/>
    <w:p>
      <w:pPr>
        <w:ind w:left="1300"/>
        <w:spacing w:after="0"/>
        <w:rPr>
          <w:sz w:val="20"/>
          <w:szCs w:val="20"/>
          <w:color w:val="auto"/>
        </w:rPr>
      </w:pPr>
      <w:r>
        <w:rPr>
          <w:rFonts w:ascii="Arial" w:cs="Arial" w:eastAsia="Arial" w:hAnsi="Arial"/>
          <w:sz w:val="22"/>
          <w:szCs w:val="22"/>
          <w:u w:val="single" w:color="auto"/>
          <w:color w:val="auto"/>
        </w:rPr>
        <w:t>CFTC</w:t>
      </w:r>
      <w:r>
        <w:rPr>
          <w:rFonts w:ascii="Arial" w:cs="Arial" w:eastAsia="Arial" w:hAnsi="Arial"/>
          <w:sz w:val="22"/>
          <w:szCs w:val="22"/>
          <w:color w:val="auto"/>
        </w:rPr>
        <w:t xml:space="preserve"> shall mean the Commodity Futures Trading Commission.</w:t>
      </w:r>
    </w:p>
    <w:p>
      <w:pPr>
        <w:spacing w:after="0" w:line="2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shall mean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CIP Regulations</w:t>
      </w:r>
      <w:r>
        <w:rPr>
          <w:rFonts w:ascii="Arial" w:cs="Arial" w:eastAsia="Arial" w:hAnsi="Arial"/>
          <w:sz w:val="22"/>
          <w:szCs w:val="22"/>
          <w:color w:val="auto"/>
        </w:rPr>
        <w:t xml:space="preserve"> shall have the meaning specified in Section 10.10 [No Reliance on Administrative Agent's Customer Identification Program].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shall mean April 30, 2019.</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Co-Syndication Agents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Co-Syndication Agent</w:t>
      </w:r>
      <w:r>
        <w:rPr>
          <w:rFonts w:ascii="Arial" w:cs="Arial" w:eastAsia="Arial" w:hAnsi="Arial"/>
          <w:sz w:val="22"/>
          <w:szCs w:val="22"/>
          <w:color w:val="auto"/>
        </w:rPr>
        <w:t xml:space="preserve"> shall mean separately, Bank of America, N.A., Citizens Bank, N.A. and Wells Fargo Bank, National Association.</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xml:space="preserve"> shall mean the Internal Revenue Code of 1986, as the same may be amended or supplemented from time to time, and any successor statute of similar import, and the rules and regulations thereunder, as from time to time in effect.</w:t>
      </w:r>
    </w:p>
    <w:p>
      <w:pPr>
        <w:spacing w:after="0" w:line="10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mean all of the personal property of the Loan Parties granted as collateral to secure the Obligations pursuant to (i) any Security Agreement(s), (ii) the Pledge Agreement(s) and (iii) any other Collateral Documents.</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shall mean any Security Agreement, any Pledge Agreement, any Deed of Hypothec, the UK Security Documents and any other agreement document or instrument granting a Lien in Collateral to the Administrative Agent for the benefit of the Lenders.</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Commercial Letter of Credit</w:t>
      </w:r>
      <w:r>
        <w:rPr>
          <w:rFonts w:ascii="Arial" w:cs="Arial" w:eastAsia="Arial" w:hAnsi="Arial"/>
          <w:sz w:val="22"/>
          <w:szCs w:val="22"/>
          <w:color w:val="auto"/>
        </w:rPr>
        <w:t xml:space="preserve"> shall mean a commercial letter of credit issued in respect of the purchase of goods or services in the ordinary course of business.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shall mean as to any Lender the aggregate of its Revolving Credit Commitment (and in the case of PNC, its Swing Loan Commitment) and Term Loan Commitment, and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shall mean the aggregate of the Revolving Credit Commitments and Term Loan Commitments of all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1428" w:right="239" w:bottom="1440" w:gutter="0" w:footer="0" w:header="0"/>
        </w:sectPr>
      </w:pPr>
    </w:p>
    <w:bookmarkStart w:id="21" w:name="page22"/>
    <w:bookmarkEnd w:id="21"/>
    <w:p>
      <w:pPr>
        <w:ind w:left="1300"/>
        <w:spacing w:after="0"/>
        <w:rPr>
          <w:sz w:val="20"/>
          <w:szCs w:val="20"/>
          <w:color w:val="auto"/>
        </w:rPr>
      </w:pP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shall have the meaning specified in Section 2.3 [Commitment Fees].</w:t>
      </w:r>
    </w:p>
    <w:p>
      <w:pPr>
        <w:spacing w:after="0" w:line="220"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u w:val="single" w:color="auto"/>
          <w:color w:val="auto"/>
        </w:rPr>
        <w:t>Commodity Hedge</w:t>
      </w:r>
      <w:r>
        <w:rPr>
          <w:rFonts w:ascii="Arial" w:cs="Arial" w:eastAsia="Arial" w:hAnsi="Arial"/>
          <w:sz w:val="19"/>
          <w:szCs w:val="19"/>
          <w:color w:val="auto"/>
        </w:rPr>
        <w:t xml:space="preserve"> shall mean a commodity swap, commodity hedge, commodity option and any other commodity future contract that provides protection to, or minimizes the impact upon, price fluctuations with respect to commodities.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Commodity Hedge Liabilities</w:t>
      </w:r>
      <w:r>
        <w:rPr>
          <w:rFonts w:ascii="Arial" w:cs="Arial" w:eastAsia="Arial" w:hAnsi="Arial"/>
          <w:sz w:val="19"/>
          <w:szCs w:val="19"/>
          <w:color w:val="auto"/>
        </w:rPr>
        <w:t xml:space="preserve"> shall have the meaning assigned in the definition of Lender Provided Commodity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Hedge.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shall have the meaning specified in Section 8.3.3 [Certificate of the Company].</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Computation Date</w:t>
      </w:r>
      <w:r>
        <w:rPr>
          <w:rFonts w:ascii="Arial" w:cs="Arial" w:eastAsia="Arial" w:hAnsi="Arial"/>
          <w:sz w:val="22"/>
          <w:szCs w:val="22"/>
          <w:color w:val="auto"/>
        </w:rPr>
        <w:t xml:space="preserve"> shall have the meaning specified in Section 2.9.1 [Periodic Computations of Dollar Equivalent amounts of Revolving Credit Loans and Letters of Credit Outstanding; Repayment in Same Currency].</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Connection Income Taxes</w:t>
      </w:r>
      <w:r>
        <w:rPr>
          <w:rFonts w:ascii="Arial" w:cs="Arial" w:eastAsia="Arial" w:hAnsi="Arial"/>
          <w:sz w:val="22"/>
          <w:szCs w:val="22"/>
          <w:color w:val="auto"/>
        </w:rPr>
        <w:t xml:space="preserve"> shall mean Other Connection Taxes that are imposed on or measured by net income (however denominated) or that are franchise Taxes or branch profits Taxes.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for any period of determination shall mean (a) the sum of: (i) net income, (ii) depreciation,</w:t>
      </w:r>
    </w:p>
    <w:p>
      <w:pPr>
        <w:spacing w:after="0" w:line="56" w:lineRule="exact"/>
        <w:rPr>
          <w:sz w:val="20"/>
          <w:szCs w:val="20"/>
          <w:color w:val="auto"/>
        </w:rPr>
      </w:pPr>
    </w:p>
    <w:p>
      <w:pPr>
        <w:jc w:val="both"/>
        <w:ind w:firstLine="8"/>
        <w:spacing w:after="0" w:line="284" w:lineRule="auto"/>
        <w:tabs>
          <w:tab w:leader="none" w:pos="433"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amortization, (iv) interest expense, (v) income tax expense, (vi) non-cash expenses in connection with the Borrowers' employee equity and long-term incentive compensation plans, (vii) reasonable transaction costs and expenses related to Permitted Acquisitions in an aggregate amount not to exceed $2,500,000 applied by the Borrowers in the period that any such Permitted Acquisition occurred, (viii) any other non-cash charges, non-cash expenses or non-cash losses of the Company or any of its consolidated Subsidiaries (including but not limited to costs recognized related to an acquisition purchase price allocation to tangible or intangible assets not classified as depreciation or amortization); and (ix) any non-cash charges, expenses or losses in respect of the UP Settlement or any warranty claim (subject to year-end reconciliation), as reasonably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cash payments made in such period or in any future period in respect of such non-cash charges, expenses or losses shall be subtracted from consolidated net income in calculating Consolidated EBITDA (subject to year-end reconciliation) in the period when such payments are made,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non-cash credits to net income, in each case of the Company and its Subsidiaries (including but not limited to benefits recognized related to an acquisition purchase price allocation to tangible or intangible assets not classified as depreciation or amortization) for such period determined and consolidated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the purposes of calculating Consolidated EBITDA, (i) items related to Joint Ventures shall be excluded, except that cash dividends paid by any Joint Venture to the Company or a wholly-owned Subsidiary of the Company shall be included in Consolidated EBITDA, (ii) gains or losses on non-ordinary course asset sales shall be excluded, and (iii) with respect to a business acquired by the Loan Parties pursuant to a Permitted Acquisition, Consolidated EBITDA shall be calculated on a pro forma basis in a manner acceptable to the Administrative Agent, using historical numbers, in accordance with GAAP as if the Permitted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5660" w:hanging="126"/>
        <w:spacing w:after="0"/>
        <w:tabs>
          <w:tab w:leader="none" w:pos="5660" w:val="left"/>
        </w:tabs>
        <w:numPr>
          <w:ilvl w:val="1"/>
          <w:numId w:val="5"/>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420"/>
          </w:cols>
          <w:pgMar w:left="240" w:top="1428" w:right="2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2"/>
          <w:szCs w:val="22"/>
          <w:color w:val="auto"/>
        </w:rPr>
        <w:t xml:space="preserve">Acquisition had been consummated at the beginning of such period,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for the purposes of this definition, with respect to a business or assets conveyed or disposed of by the Loan Parties pursuant to Section 8.2.7 [Dispositions of Assets or Subsidiaries], Consolidated EBITDA shall be calculated on a pro forma basis as if such disposition or conveyance had been consummated at the beginning of such period.</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Consolidated Fixed Charge Coverage Ratio</w:t>
      </w:r>
      <w:r>
        <w:rPr>
          <w:rFonts w:ascii="Arial" w:cs="Arial" w:eastAsia="Arial" w:hAnsi="Arial"/>
          <w:sz w:val="22"/>
          <w:szCs w:val="22"/>
          <w:color w:val="auto"/>
        </w:rPr>
        <w:t xml:space="preserve"> shall mean, for any period of determination, the ratio of (i) Consolidated EBITDA to (ii) Fixed Charges.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Consolidated Indebtedness</w:t>
      </w:r>
      <w:r>
        <w:rPr>
          <w:rFonts w:ascii="Arial" w:cs="Arial" w:eastAsia="Arial" w:hAnsi="Arial"/>
          <w:sz w:val="22"/>
          <w:szCs w:val="22"/>
          <w:color w:val="auto"/>
        </w:rPr>
        <w:t xml:space="preserve"> shall mean, for any period of determination, the aggregate of all Indebtedness of the Company and its Subsidiaries (excluding the indebtedness described in clause (iv) of the definition of Indebtedness) consolidated in accordance with GAAP.</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xml:space="preserve"> shall mean, on any date of determination, the total assets of the Company and its Subsidiaries calculated in accordance with GAAP on a consolidated basis.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u w:val="single" w:color="auto"/>
          <w:color w:val="auto"/>
        </w:rPr>
        <w:t>Consolidated Total Net Indebtedness</w:t>
      </w:r>
      <w:r>
        <w:rPr>
          <w:rFonts w:ascii="Arial" w:cs="Arial" w:eastAsia="Arial" w:hAnsi="Arial"/>
          <w:sz w:val="21"/>
          <w:szCs w:val="21"/>
          <w:color w:val="auto"/>
        </w:rPr>
        <w:t xml:space="preserve"> shall mean as of any date of determination the aggregate of all Indebtedness of the Company and its Subsidiaries (excluding the indebtedness described in Section (iv) of the definition of Indebtedness) as of such date determined and consolidated in accordance with GAAP </w:t>
      </w:r>
      <w:r>
        <w:rPr>
          <w:rFonts w:ascii="Arial" w:cs="Arial" w:eastAsia="Arial" w:hAnsi="Arial"/>
          <w:sz w:val="21"/>
          <w:szCs w:val="21"/>
          <w:i w:val="1"/>
          <w:iCs w:val="1"/>
          <w:color w:val="auto"/>
        </w:rPr>
        <w:t>minus</w:t>
      </w:r>
      <w:r>
        <w:rPr>
          <w:rFonts w:ascii="Arial" w:cs="Arial" w:eastAsia="Arial" w:hAnsi="Arial"/>
          <w:sz w:val="21"/>
          <w:szCs w:val="21"/>
          <w:color w:val="auto"/>
        </w:rPr>
        <w:t xml:space="preserve"> Cash on Hand in excess of $15,000,000 which is held by the Company and its Subsidiaries. Consolidated Total Net Indebtedness shall be measured at the end of each fiscal quarter or the quarter most recently ended if such date is not a fiscal quarter end.</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Contribution Notice</w:t>
      </w:r>
      <w:r>
        <w:rPr>
          <w:rFonts w:ascii="Arial" w:cs="Arial" w:eastAsia="Arial" w:hAnsi="Arial"/>
          <w:sz w:val="22"/>
          <w:szCs w:val="22"/>
          <w:color w:val="auto"/>
        </w:rPr>
        <w:t xml:space="preserve"> shall mean a contribution notice issued by the Pensions Regulator under section 38 or section 47 of the Pensions Act 2004.</w:t>
      </w:r>
    </w:p>
    <w:p>
      <w:pPr>
        <w:spacing w:after="0" w:line="17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u w:val="single" w:color="auto"/>
          <w:color w:val="auto"/>
        </w:rPr>
        <w:t>Covered Entity</w:t>
      </w:r>
      <w:r>
        <w:rPr>
          <w:rFonts w:ascii="Arial" w:cs="Arial" w:eastAsia="Arial" w:hAnsi="Arial"/>
          <w:sz w:val="21"/>
          <w:szCs w:val="21"/>
          <w:color w:val="auto"/>
        </w:rPr>
        <w:t xml:space="preserve"> shall mean (a) each Borrower, each of Borrower's Subsidiaries, all Guarantors and all pledgors of Collateral,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Customer</w:t>
      </w:r>
      <w:r>
        <w:rPr>
          <w:rFonts w:ascii="Arial" w:cs="Arial" w:eastAsia="Arial" w:hAnsi="Arial"/>
          <w:sz w:val="22"/>
          <w:szCs w:val="22"/>
          <w:color w:val="auto"/>
        </w:rPr>
        <w:t xml:space="preserve"> shall mean and include the account debtor with respect to any account receivable and/or the prospective purchaser of goods, services or both with respect to any contract or contract right, and/or any party who enters into or proposes to enter into any contract or other arrangement with any Borrower, pursuant to which such Borrower is to deliver any personal property or perform any services.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Daily Euro-Rate</w:t>
      </w:r>
      <w:r>
        <w:rPr>
          <w:rFonts w:ascii="Arial" w:cs="Arial" w:eastAsia="Arial" w:hAnsi="Arial"/>
          <w:sz w:val="22"/>
          <w:szCs w:val="22"/>
          <w:color w:val="auto"/>
        </w:rPr>
        <w:t xml:space="preserve"> shall mean, for any day, the rate per annum determined by the Administrative Agent as the Published Rate, as adjusted for any additional costs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1428"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22"/>
          <w:szCs w:val="22"/>
          <w:color w:val="auto"/>
        </w:rPr>
        <w:t>Section 5.8.5 [Additional Reserve Requirements]. Notwithstanding the foregoing, if the Daily Euro-Rate as determined above would be less than zero (0.00) or if Section 4.4.3 [Administrative Agent’s and Lender’s Rights] is applicable to the Euro-Rate, such rate shall be deemed to be zero (0.00) for purposes of this Agreement.</w:t>
      </w:r>
    </w:p>
    <w:p>
      <w:pPr>
        <w:spacing w:after="0" w:line="18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shall mean any Lender that (a) has failed, within two Business Days of the date required to be funded or paid, to (i) fund any portion of its Loans, (ii) fund any portion of its participations in Letters of Credit or Swing Loans or</w:t>
      </w:r>
    </w:p>
    <w:p>
      <w:pPr>
        <w:spacing w:after="0" w:line="1" w:lineRule="exact"/>
        <w:rPr>
          <w:sz w:val="20"/>
          <w:szCs w:val="20"/>
          <w:color w:val="auto"/>
        </w:rPr>
      </w:pPr>
    </w:p>
    <w:p>
      <w:pPr>
        <w:jc w:val="both"/>
        <w:ind w:firstLine="8"/>
        <w:spacing w:after="0" w:line="284" w:lineRule="auto"/>
        <w:tabs>
          <w:tab w:leader="none" w:pos="391" w:val="left"/>
        </w:tabs>
        <w:numPr>
          <w:ilvl w:val="0"/>
          <w:numId w:val="6"/>
        </w:numPr>
        <w:rPr>
          <w:rFonts w:ascii="Arial" w:cs="Arial" w:eastAsia="Arial" w:hAnsi="Arial"/>
          <w:sz w:val="19"/>
          <w:szCs w:val="19"/>
          <w:color w:val="auto"/>
        </w:rPr>
      </w:pPr>
      <w:r>
        <w:rPr>
          <w:rFonts w:ascii="Arial" w:cs="Arial" w:eastAsia="Arial" w:hAnsi="Arial"/>
          <w:sz w:val="19"/>
          <w:szCs w:val="19"/>
          <w:color w:val="auto"/>
        </w:rPr>
        <w:t>pay over to the Administrative Agent, the Issuing Lender, PNC (as the Swing Loan Lender)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or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two Business Days after request by the Administrative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 (c) upon the Administrative Agent's receipt of such certification in form and substance satisfactory to the Administrative Agent, (d) has become the subject of a Bankruptcy Event or Bail-In Action or (e) has failed at any time to comply with the provisions of Section 5.3 [Sharing of Payments by Lenders] with respect to purchasing participations from the other Lenders, whereby such Lender's share of any payment received, whether by setoff or otherwise, is in excess of its Ratable Share of such payments due and payable to all of the Lenders.</w:t>
      </w:r>
    </w:p>
    <w:p>
      <w:pPr>
        <w:spacing w:after="0" w:line="16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As used in this definition and in Section 2.10 [Defaulting Lenders], the term "Bankruptcy Event" means, with respect to any Person, such Person or such Person's direct or indirect parent company becomes the subject of a stay of proceedings or a bankruptcy or insolvency proceeding, or has had a receiver, interim receiver, receiver manager, conservator, trustee, administrator, custodian, monitor, assignee for the benefit of creditors or similar Person charged with the, or otherwise relating to any, reorganization, arrangement, wind-up, sale, administration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420"/>
          </w:cols>
          <w:pgMar w:left="240" w:top="1428" w:right="2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such Official Body or instrumentality) to reject, repudiate, disavow or disaffirm any contracts or agreements made by such Person.</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Dollar, Dollars, U.S. Dollars</w:t>
      </w:r>
      <w:r>
        <w:rPr>
          <w:rFonts w:ascii="Arial" w:cs="Arial" w:eastAsia="Arial" w:hAnsi="Arial"/>
          <w:sz w:val="22"/>
          <w:szCs w:val="22"/>
          <w:color w:val="auto"/>
        </w:rPr>
        <w:t xml:space="preserve"> and the symbol </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lawful money of the United States of America.</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Dollar Equivalent</w:t>
      </w:r>
      <w:r>
        <w:rPr>
          <w:rFonts w:ascii="Arial" w:cs="Arial" w:eastAsia="Arial" w:hAnsi="Arial"/>
          <w:sz w:val="22"/>
          <w:szCs w:val="22"/>
          <w:color w:val="auto"/>
        </w:rPr>
        <w:t xml:space="preserve"> shall mean, with respect to any amount of any currency, as of any Computation Date, the Equivalent Amount of such currency expressed in Dollars.</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Domestic Borrower</w:t>
      </w:r>
      <w:r>
        <w:rPr>
          <w:rFonts w:ascii="Arial" w:cs="Arial" w:eastAsia="Arial" w:hAnsi="Arial"/>
          <w:sz w:val="19"/>
          <w:szCs w:val="19"/>
          <w:color w:val="auto"/>
        </w:rPr>
        <w:t xml:space="preserve"> shall mean a Borrower which is organized under the laws of the United States of America, any State thereof or the District of Columbia, and Domestic Borrowers shall mean all such </w:t>
      </w:r>
      <w:r>
        <w:rPr>
          <w:rFonts w:ascii="Arial" w:cs="Arial" w:eastAsia="Arial" w:hAnsi="Arial"/>
          <w:sz w:val="19"/>
          <w:szCs w:val="19"/>
          <w:u w:val="single" w:color="auto"/>
          <w:color w:val="auto"/>
        </w:rPr>
        <w:t>Domestic Borrowers</w:t>
      </w:r>
      <w:r>
        <w:rPr>
          <w:rFonts w:ascii="Arial" w:cs="Arial" w:eastAsia="Arial" w:hAnsi="Arial"/>
          <w:sz w:val="19"/>
          <w:szCs w:val="19"/>
          <w:color w:val="auto"/>
        </w:rPr>
        <w:t xml:space="preserve"> hereunder.</w:t>
      </w:r>
    </w:p>
    <w:p>
      <w:pPr>
        <w:spacing w:after="0" w:line="105"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u w:val="single" w:color="auto"/>
          <w:color w:val="auto"/>
        </w:rPr>
        <w:t>Domestic Guarantor</w:t>
      </w:r>
      <w:r>
        <w:rPr>
          <w:rFonts w:ascii="Arial" w:cs="Arial" w:eastAsia="Arial" w:hAnsi="Arial"/>
          <w:sz w:val="19"/>
          <w:szCs w:val="19"/>
          <w:color w:val="auto"/>
        </w:rPr>
        <w:t xml:space="preserve"> shall mean a Guarantor which is organized under the laws of the United States of America, any State thereof or the District of Columbia, and Domestic Borrowers shall mean all such </w:t>
      </w:r>
      <w:r>
        <w:rPr>
          <w:rFonts w:ascii="Arial" w:cs="Arial" w:eastAsia="Arial" w:hAnsi="Arial"/>
          <w:sz w:val="19"/>
          <w:szCs w:val="19"/>
          <w:u w:val="single" w:color="auto"/>
          <w:color w:val="auto"/>
        </w:rPr>
        <w:t>Domestic Guarantors</w:t>
      </w:r>
      <w:r>
        <w:rPr>
          <w:rFonts w:ascii="Arial" w:cs="Arial" w:eastAsia="Arial" w:hAnsi="Arial"/>
          <w:sz w:val="19"/>
          <w:szCs w:val="19"/>
          <w:color w:val="auto"/>
        </w:rPr>
        <w:t xml:space="preserve"> hereunder.</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Domestic Loan Party</w:t>
      </w:r>
      <w:r>
        <w:rPr>
          <w:rFonts w:ascii="Arial" w:cs="Arial" w:eastAsia="Arial" w:hAnsi="Arial"/>
          <w:sz w:val="22"/>
          <w:szCs w:val="22"/>
          <w:color w:val="auto"/>
        </w:rPr>
        <w:t xml:space="preserve"> shall mean any Domestic Borrower or Domestic Guarantor, and </w:t>
      </w:r>
      <w:r>
        <w:rPr>
          <w:rFonts w:ascii="Arial" w:cs="Arial" w:eastAsia="Arial" w:hAnsi="Arial"/>
          <w:sz w:val="22"/>
          <w:szCs w:val="22"/>
          <w:u w:val="single" w:color="auto"/>
          <w:color w:val="auto"/>
        </w:rPr>
        <w:t>Domestic Loan Parties</w:t>
      </w:r>
      <w:r>
        <w:rPr>
          <w:rFonts w:ascii="Arial" w:cs="Arial" w:eastAsia="Arial" w:hAnsi="Arial"/>
          <w:sz w:val="22"/>
          <w:szCs w:val="22"/>
          <w:color w:val="auto"/>
        </w:rPr>
        <w:t xml:space="preserve"> shall mean all Domestic Borrowers and Domestic Guarantors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Drawing Date</w:t>
      </w:r>
      <w:r>
        <w:rPr>
          <w:rFonts w:ascii="Arial" w:cs="Arial" w:eastAsia="Arial" w:hAnsi="Arial"/>
          <w:sz w:val="22"/>
          <w:szCs w:val="22"/>
          <w:color w:val="auto"/>
        </w:rPr>
        <w:t xml:space="preserve"> shall have the meaning specified in Section 2.8.3 [Disbursements, Reimbursement].</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EEA Member Country</w:t>
      </w:r>
      <w:r>
        <w:rPr>
          <w:rFonts w:ascii="Arial" w:cs="Arial" w:eastAsia="Arial" w:hAnsi="Arial"/>
          <w:sz w:val="19"/>
          <w:szCs w:val="19"/>
          <w:color w:val="auto"/>
        </w:rPr>
        <w:t xml:space="preserve"> shall mean any of the member states of the European Union, Iceland, Liechtenstein,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xml:space="preserve"> shall mean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means the date indicated in a document or agreement to be the date on which such document or agreement becomes effective, or, if there is no such indication, the date of execution of such document or agreement.</w:t>
      </w:r>
    </w:p>
    <w:p>
      <w:pPr>
        <w:spacing w:after="0" w:line="15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Eligibility Date</w:t>
      </w:r>
      <w:r>
        <w:rPr>
          <w:rFonts w:ascii="Arial" w:cs="Arial" w:eastAsia="Arial" w:hAnsi="Arial"/>
          <w:sz w:val="19"/>
          <w:szCs w:val="19"/>
          <w:color w:val="auto"/>
        </w:rPr>
        <w:t xml:space="preserve"> shall mean,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1428" w:right="2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22"/>
          <w:szCs w:val="22"/>
          <w:color w:val="auto"/>
        </w:rPr>
        <w:t>Party, and otherwise it shall be the Effective Date of this Agreement and/or such other Loan Document(s) to which such Loan Party is a party).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Eligible Contract Participant</w:t>
      </w:r>
      <w:r>
        <w:rPr>
          <w:rFonts w:ascii="Arial" w:cs="Arial" w:eastAsia="Arial" w:hAnsi="Arial"/>
          <w:sz w:val="19"/>
          <w:szCs w:val="19"/>
          <w:color w:val="auto"/>
        </w:rPr>
        <w:t xml:space="preserve"> shall mean an "eligible contract participant" as defined in the CEA and regulations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shall mean all applicable federal, state, local, tribal, provincial,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w:t>
      </w:r>
    </w:p>
    <w:p>
      <w:pPr>
        <w:spacing w:after="0" w:line="3" w:lineRule="exact"/>
        <w:rPr>
          <w:sz w:val="20"/>
          <w:szCs w:val="20"/>
          <w:color w:val="auto"/>
        </w:rPr>
      </w:pPr>
    </w:p>
    <w:p>
      <w:pPr>
        <w:jc w:val="both"/>
        <w:ind w:firstLine="8"/>
        <w:spacing w:after="0" w:line="295" w:lineRule="auto"/>
        <w:tabs>
          <w:tab w:leader="none" w:pos="437" w:val="left"/>
        </w:tabs>
        <w:numPr>
          <w:ilvl w:val="0"/>
          <w:numId w:val="7"/>
        </w:numPr>
        <w:rPr>
          <w:rFonts w:ascii="Arial" w:cs="Arial" w:eastAsia="Arial" w:hAnsi="Arial"/>
          <w:sz w:val="19"/>
          <w:szCs w:val="19"/>
          <w:color w:val="auto"/>
        </w:rPr>
      </w:pPr>
      <w:r>
        <w:rPr>
          <w:rFonts w:ascii="Arial" w:cs="Arial" w:eastAsia="Arial" w:hAnsi="Arial"/>
          <w:sz w:val="19"/>
          <w:szCs w:val="19"/>
          <w:color w:val="auto"/>
        </w:rPr>
        <w:t>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shall  have  the  meaning  specified  in  Section  6.1.2  [Subsidiaries  and  Owners;  Investment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Companies].</w:t>
      </w:r>
    </w:p>
    <w:p>
      <w:pPr>
        <w:spacing w:after="0" w:line="20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u w:val="single" w:color="auto"/>
          <w:color w:val="auto"/>
        </w:rPr>
        <w:t>Equivalent Amount</w:t>
      </w:r>
      <w:r>
        <w:rPr>
          <w:rFonts w:ascii="Arial" w:cs="Arial" w:eastAsia="Arial" w:hAnsi="Arial"/>
          <w:sz w:val="19"/>
          <w:szCs w:val="19"/>
          <w:color w:val="auto"/>
        </w:rPr>
        <w:t xml:space="preserve"> shall mean, at any time, as determined by Administrative Agent (which determination shall be conclusive absent manifest error), with respect to an amount of any currency (the "</w:t>
      </w:r>
      <w:r>
        <w:rPr>
          <w:rFonts w:ascii="Arial" w:cs="Arial" w:eastAsia="Arial" w:hAnsi="Arial"/>
          <w:sz w:val="19"/>
          <w:szCs w:val="19"/>
          <w:b w:val="1"/>
          <w:bCs w:val="1"/>
          <w:color w:val="auto"/>
        </w:rPr>
        <w:t>Reference Currency</w:t>
      </w:r>
      <w:r>
        <w:rPr>
          <w:rFonts w:ascii="Arial" w:cs="Arial" w:eastAsia="Arial" w:hAnsi="Arial"/>
          <w:sz w:val="19"/>
          <w:szCs w:val="19"/>
          <w:color w:val="auto"/>
        </w:rPr>
        <w:t>") which is to be computed as an equivalent amount of another currency (the "</w:t>
      </w:r>
      <w:r>
        <w:rPr>
          <w:rFonts w:ascii="Arial" w:cs="Arial" w:eastAsia="Arial" w:hAnsi="Arial"/>
          <w:sz w:val="19"/>
          <w:szCs w:val="19"/>
          <w:b w:val="1"/>
          <w:bCs w:val="1"/>
          <w:color w:val="auto"/>
        </w:rPr>
        <w:t>Equivalent Currency</w:t>
      </w:r>
      <w:r>
        <w:rPr>
          <w:rFonts w:ascii="Arial" w:cs="Arial" w:eastAsia="Arial" w:hAnsi="Arial"/>
          <w:sz w:val="19"/>
          <w:szCs w:val="19"/>
          <w:color w:val="auto"/>
        </w:rPr>
        <w:t>"), the amount of such Equivalent Currency converted from such Reference Currency at Administrative Agent's spot selling rate (based on the market rates then prevailing and available to Administrative Agent) for the sale of such Equivalent Currency for such Reference Currency at a time determined by Administrative Agent on the second Business Day immediately preceding the event for which such calculation is made.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Equivalent Currency</w:t>
      </w:r>
      <w:r>
        <w:rPr>
          <w:rFonts w:ascii="Arial" w:cs="Arial" w:eastAsia="Arial" w:hAnsi="Arial"/>
          <w:sz w:val="22"/>
          <w:szCs w:val="22"/>
          <w:color w:val="auto"/>
        </w:rPr>
        <w:t xml:space="preserve"> shall have the meaning specified in the definition of Equivalent Amount.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xml:space="preserve"> shall mean the Employee Retirement Income Security Act of 1974, as the same may be amended or supplemented from time to time, and any successor statute of similar import, and the rules and regulations thereunder, as from time to time in effect.</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ERISA Affiliate</w:t>
      </w:r>
      <w:r>
        <w:rPr>
          <w:rFonts w:ascii="Arial" w:cs="Arial" w:eastAsia="Arial" w:hAnsi="Arial"/>
          <w:sz w:val="22"/>
          <w:szCs w:val="22"/>
          <w:color w:val="auto"/>
        </w:rPr>
        <w:t xml:space="preserve"> shall mean, at any time, any trade or business (whether or not incorporated) under common control with the Borrowers and are treated as a single employer under Section 414 of the Code.</w:t>
      </w:r>
    </w:p>
    <w:p>
      <w:pPr>
        <w:spacing w:after="0" w:line="175"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u w:val="single" w:color="auto"/>
          <w:color w:val="auto"/>
        </w:rPr>
        <w:t>ERISA Event</w:t>
      </w:r>
      <w:r>
        <w:rPr>
          <w:rFonts w:ascii="Arial" w:cs="Arial" w:eastAsia="Arial" w:hAnsi="Arial"/>
          <w:sz w:val="21"/>
          <w:szCs w:val="21"/>
          <w:color w:val="auto"/>
        </w:rPr>
        <w:t xml:space="preserve"> shall mean (a) a reportable event (under Section 4043 of ERISA and regulations thereunder) with respect to a Pension Plan; (b) a withdrawal by Borrowers or any ERISA Affiliate from a Pension Plan subject to Section 4063 of ERISA during a plan year in which it was a substantial employer (as defined in Section 4001(a)(2) of ERISA) or a cessation of operations that is treated as such a withdrawal under Section 4062(e) of ERISA;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1428" w:right="2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22"/>
          <w:szCs w:val="22"/>
          <w:color w:val="auto"/>
        </w:rPr>
        <w:t>complete or partial withdrawal by any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Borrowers or any ERISA Affiliate.</w:t>
      </w:r>
    </w:p>
    <w:p>
      <w:pPr>
        <w:spacing w:after="0" w:line="19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u w:val="single" w:color="auto"/>
          <w:color w:val="auto"/>
        </w:rPr>
        <w:t>ERISA Group</w:t>
      </w:r>
      <w:r>
        <w:rPr>
          <w:rFonts w:ascii="Arial" w:cs="Arial" w:eastAsia="Arial" w:hAnsi="Arial"/>
          <w:sz w:val="21"/>
          <w:szCs w:val="21"/>
          <w:color w:val="auto"/>
        </w:rPr>
        <w:t xml:space="preserve"> shall mean, at any time, the Borrowers and all members of a controlled group of corporations and all trades or businesses (whether or not incorporated) under common control and all other entities which, together with the Borrowers, are treated as a single employer under Section 414 of the Internal Revenue Code.</w:t>
      </w:r>
    </w:p>
    <w:p>
      <w:pPr>
        <w:spacing w:after="0" w:line="1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xml:space="preserve"> shall mean the EU Bail-In Legislation Schedule published by the Loan Market Association (or any successor Person), as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Euro</w:t>
      </w:r>
      <w:r>
        <w:rPr>
          <w:rFonts w:ascii="Arial" w:cs="Arial" w:eastAsia="Arial" w:hAnsi="Arial"/>
          <w:sz w:val="22"/>
          <w:szCs w:val="22"/>
          <w:color w:val="auto"/>
        </w:rPr>
        <w:t xml:space="preserve"> shall refer to the lawful currency of the Participating Member States.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Eurocurrency Liabilities</w:t>
      </w:r>
      <w:r>
        <w:rPr>
          <w:rFonts w:ascii="Arial" w:cs="Arial" w:eastAsia="Arial" w:hAnsi="Arial"/>
          <w:sz w:val="22"/>
          <w:szCs w:val="22"/>
          <w:color w:val="auto"/>
        </w:rPr>
        <w:t xml:space="preserve"> shall have the meaning assigned to such term in the definition of Euro-Rate.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European Interbank Market</w:t>
      </w:r>
      <w:r>
        <w:rPr>
          <w:rFonts w:ascii="Arial" w:cs="Arial" w:eastAsia="Arial" w:hAnsi="Arial"/>
          <w:sz w:val="19"/>
          <w:szCs w:val="19"/>
          <w:color w:val="auto"/>
        </w:rPr>
        <w:t xml:space="preserve"> shall mean the European interbank market for Euro operating in Participating Member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Euro-Rate</w:t>
      </w:r>
      <w:r>
        <w:rPr>
          <w:rFonts w:ascii="Arial" w:cs="Arial" w:eastAsia="Arial" w:hAnsi="Arial"/>
          <w:sz w:val="22"/>
          <w:szCs w:val="22"/>
          <w:color w:val="auto"/>
        </w:rPr>
        <w:t xml:space="preserve"> shall mean the following:</w:t>
      </w:r>
    </w:p>
    <w:p>
      <w:pPr>
        <w:spacing w:after="0" w:line="220" w:lineRule="exact"/>
        <w:rPr>
          <w:sz w:val="20"/>
          <w:szCs w:val="20"/>
          <w:color w:val="auto"/>
        </w:rPr>
      </w:pPr>
    </w:p>
    <w:p>
      <w:pPr>
        <w:jc w:val="both"/>
        <w:ind w:firstLine="1305"/>
        <w:spacing w:after="0" w:line="289" w:lineRule="auto"/>
        <w:tabs>
          <w:tab w:leader="none" w:pos="1590"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the Dollar Loans comprising any Borrowing Tranche to which the Euro-Rate Option applies for any Interest Period, the interest rate per annum determined by the Administrative Agent by dividing (the resulting quotient rounded upwards, if necessary, to the nearest 1/100th of 1% per annum) (i)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as an authorized information vendor for the purpose of displaying rates at which US dollar deposits are offered by leading banks in the London interbank deposit market, at approximately 11:00 a.m., London time, two (2) Business Days prior to the commencement of such Interest Period as the Relevant Interbank Market offered rate for U.S. Dollars for an amount comparable to such Borrowing Tranche and having a borrowing date and a maturity comparable to such Interest Period.</w:t>
      </w:r>
    </w:p>
    <w:p>
      <w:pPr>
        <w:spacing w:after="0" w:line="157" w:lineRule="exact"/>
        <w:rPr>
          <w:rFonts w:ascii="Arial" w:cs="Arial" w:eastAsia="Arial" w:hAnsi="Arial"/>
          <w:sz w:val="19"/>
          <w:szCs w:val="19"/>
          <w:color w:val="auto"/>
        </w:rPr>
      </w:pPr>
    </w:p>
    <w:p>
      <w:pPr>
        <w:jc w:val="both"/>
        <w:ind w:right="20" w:firstLine="1305"/>
        <w:spacing w:after="0" w:line="312" w:lineRule="auto"/>
        <w:tabs>
          <w:tab w:leader="none" w:pos="1657"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Optional Currency Loans in Euros or British Pounds Sterling comprising any Borrowing Tranche for any Interest Period, the interest rate per annum determined by Administrative Agent by dividing (i) the rate which appears on the Bloomberg Page BBAM1 (or on such other substitute Bloomberg page that displays rates at which deposits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4" w:lineRule="exact"/>
        <w:rPr>
          <w:rFonts w:ascii="Arial" w:cs="Arial" w:eastAsia="Arial" w:hAnsi="Arial"/>
          <w:sz w:val="19"/>
          <w:szCs w:val="19"/>
          <w:color w:val="auto"/>
        </w:rPr>
      </w:pPr>
    </w:p>
    <w:p>
      <w:pPr>
        <w:ind w:left="5600" w:hanging="120"/>
        <w:spacing w:after="0"/>
        <w:tabs>
          <w:tab w:leader="none" w:pos="5600" w:val="left"/>
        </w:tabs>
        <w:numPr>
          <w:ilvl w:val="1"/>
          <w:numId w:val="8"/>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420"/>
          </w:cols>
          <w:pgMar w:left="240" w:top="1428" w:right="239" w:bottom="1440" w:gutter="0" w:footer="0" w:header="0"/>
        </w:sectPr>
      </w:pPr>
    </w:p>
    <w:bookmarkStart w:id="27" w:name="page28"/>
    <w:bookmarkEnd w:id="27"/>
    <w:p>
      <w:pPr>
        <w:jc w:val="both"/>
        <w:spacing w:after="0" w:line="294" w:lineRule="auto"/>
        <w:rPr>
          <w:sz w:val="20"/>
          <w:szCs w:val="20"/>
          <w:color w:val="auto"/>
        </w:rPr>
      </w:pPr>
      <w:r>
        <w:rPr>
          <w:rFonts w:ascii="Arial" w:cs="Arial" w:eastAsia="Arial" w:hAnsi="Arial"/>
          <w:sz w:val="19"/>
          <w:szCs w:val="19"/>
          <w:color w:val="auto"/>
        </w:rPr>
        <w:t>in the relevant Optional Currency are offered by leading banks in the Relevant Interbank Market), or the rate which is quoted by another source selected by the Administrative Agent as an authorized information vendor for the purpose of displaying rates at which Euros or British Pounds Sterling deposits are offered by leading banks in the London interbank deposit market, at approximately 11:00 a.m., London time, two (2) Business Days prior to the commencement of such Interest Period as the Relevant Interbank Market offered rate for deposits in the Euros or British Pounds Sterling for an amount comparable to the principal amount of such Borrowing Tranche and having a borrowing date and a maturity comparable to such Interest Period.</w:t>
      </w:r>
    </w:p>
    <w:p>
      <w:pPr>
        <w:spacing w:after="0" w:line="177" w:lineRule="exact"/>
        <w:rPr>
          <w:sz w:val="20"/>
          <w:szCs w:val="20"/>
          <w:color w:val="auto"/>
        </w:rPr>
      </w:pPr>
    </w:p>
    <w:p>
      <w:pPr>
        <w:jc w:val="both"/>
        <w:ind w:firstLine="1305"/>
        <w:spacing w:after="0" w:line="289" w:lineRule="auto"/>
        <w:tabs>
          <w:tab w:leader="none" w:pos="1590" w:val="left"/>
        </w:tabs>
        <w:numPr>
          <w:ilvl w:val="0"/>
          <w:numId w:val="9"/>
        </w:numPr>
        <w:rPr>
          <w:rFonts w:ascii="Arial" w:cs="Arial" w:eastAsia="Arial" w:hAnsi="Arial"/>
          <w:sz w:val="19"/>
          <w:szCs w:val="19"/>
          <w:color w:val="auto"/>
        </w:rPr>
      </w:pPr>
      <w:r>
        <w:rPr>
          <w:rFonts w:ascii="Arial" w:cs="Arial" w:eastAsia="Arial" w:hAnsi="Arial"/>
          <w:sz w:val="19"/>
          <w:szCs w:val="19"/>
          <w:color w:val="auto"/>
        </w:rPr>
        <w:t>with respect to Optional Currency Loans denominated in Canadian Dollars comprising any Borrowing Tranche, the interest rate per annum (the "</w:t>
      </w:r>
      <w:r>
        <w:rPr>
          <w:rFonts w:ascii="Arial" w:cs="Arial" w:eastAsia="Arial" w:hAnsi="Arial"/>
          <w:sz w:val="19"/>
          <w:szCs w:val="19"/>
          <w:b w:val="1"/>
          <w:bCs w:val="1"/>
          <w:color w:val="auto"/>
        </w:rPr>
        <w:t>CDOR Rate</w:t>
      </w:r>
      <w:r>
        <w:rPr>
          <w:rFonts w:ascii="Arial" w:cs="Arial" w:eastAsia="Arial" w:hAnsi="Arial"/>
          <w:sz w:val="19"/>
          <w:szCs w:val="19"/>
          <w:color w:val="auto"/>
        </w:rPr>
        <w:t>") as determined by the Administrative Agent, equal to the arithmetic average rate applicable to Canadian Dollar bankers' acceptances (C$BAs) for the applicable Interest Period appearing on the Bloomberg page BTMM CA, rounded to the nearest 1/100th of 1% (with .005% being rounded up), at approximately 11:00 a.m. Eastern Time, two Business Days prior to the commencement of such Interest Period, or if such day is not a Business Day, then on the immediately preceding Business Day, provided that if such rate does not appear on the Bloomberg page BTMM CA on such day the CDOR Rate on such day shall be the rate for such period applicable to Canadian Dollar bankers' acceptances quoted by a bank listed in Schedule I of the Bank Act (Canada), as selected by the Administrative Agent, as of 11:00 a.m. Eastern Time on such day or, if such day is not a Business Day, then on the immediately preceding Business Day.</w:t>
      </w:r>
    </w:p>
    <w:p>
      <w:pPr>
        <w:spacing w:after="0" w:line="184" w:lineRule="exact"/>
        <w:rPr>
          <w:rFonts w:ascii="Arial" w:cs="Arial" w:eastAsia="Arial" w:hAnsi="Arial"/>
          <w:sz w:val="19"/>
          <w:szCs w:val="19"/>
          <w:color w:val="auto"/>
        </w:rPr>
      </w:pPr>
    </w:p>
    <w:p>
      <w:pPr>
        <w:jc w:val="both"/>
        <w:ind w:firstLine="1305"/>
        <w:spacing w:after="0" w:line="289" w:lineRule="auto"/>
        <w:tabs>
          <w:tab w:leader="none" w:pos="1616"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with respect to Optional Currency Loans denominated in Australian Dollar comprising any Borrowing Tranche to which the Euro-Rate Option applies for any Interest Period, the rate per annum equal to the Australian Bank Bill Swap Bid Rate or the successor thereto as approved by the Administrative Agent as published by Bloomberg (or on any successor or substitute service providing rate quotations comparable to those currently provided by such service, as determined by the Administrative Agent from time to time) at approximately 10:00 a.m., Sydney, Australia time, two (2) Business Days prior to the commencement of such Interest Period, as the rate for deposits in Australian Dollars with a maturity comparable to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available at such time for any reason, the Administrative Agent may substitute such rate with a reasonably acceptable alternative published interest rate that adequately reflects the all-in-cost of funds to the Administrative Agent for funding such Optional Currency Loans in Australian Dollars.</w:t>
      </w:r>
    </w:p>
    <w:p>
      <w:pPr>
        <w:spacing w:after="0" w:line="184" w:lineRule="exact"/>
        <w:rPr>
          <w:rFonts w:ascii="Arial" w:cs="Arial" w:eastAsia="Arial" w:hAnsi="Arial"/>
          <w:sz w:val="19"/>
          <w:szCs w:val="19"/>
          <w:color w:val="auto"/>
        </w:rPr>
      </w:pPr>
    </w:p>
    <w:p>
      <w:pPr>
        <w:jc w:val="both"/>
        <w:ind w:firstLine="1305"/>
        <w:spacing w:after="0" w:line="292" w:lineRule="auto"/>
        <w:tabs>
          <w:tab w:leader="none" w:pos="1617"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with respect to Optional Currency Loans denominated in Mexican Pesos for any Interest Period, the rate per annum equal to the Mexican Interbank Equilibrium Interest Rate or the successor thereto as approved by the Administrative Agent as published by Banco de México (or on any successor or substitute service providing rate quotations comparable to those currently provided by such service, as determined by the Administrative Agent from time to time) at approximately 12:30 p.m., Mexico City, Mexico time, two (2) Business Days prior to the commencement of such Interest Period, as the rate for deposits in Mexican Pesos with a maturity comparable to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available at such time for any reason, the Administrative Agent may substitute such rate with a reasonably acceptable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2" w:lineRule="exact"/>
        <w:rPr>
          <w:rFonts w:ascii="Arial" w:cs="Arial" w:eastAsia="Arial" w:hAnsi="Arial"/>
          <w:sz w:val="19"/>
          <w:szCs w:val="19"/>
          <w:color w:val="auto"/>
        </w:rPr>
      </w:pPr>
    </w:p>
    <w:p>
      <w:pPr>
        <w:ind w:left="5600" w:hanging="120"/>
        <w:spacing w:after="0"/>
        <w:tabs>
          <w:tab w:leader="none" w:pos="5600" w:val="left"/>
        </w:tabs>
        <w:numPr>
          <w:ilvl w:val="1"/>
          <w:numId w:val="9"/>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420"/>
          </w:cols>
          <w:pgMar w:left="240" w:top="1428" w:right="239" w:bottom="1440" w:gutter="0" w:footer="0" w:header="0"/>
        </w:sectPr>
      </w:pPr>
    </w:p>
    <w:bookmarkStart w:id="28" w:name="page29"/>
    <w:bookmarkEnd w:id="28"/>
    <w:p>
      <w:pPr>
        <w:spacing w:after="0" w:line="263" w:lineRule="auto"/>
        <w:rPr>
          <w:sz w:val="20"/>
          <w:szCs w:val="20"/>
          <w:color w:val="auto"/>
        </w:rPr>
      </w:pPr>
      <w:r>
        <w:rPr>
          <w:rFonts w:ascii="Arial" w:cs="Arial" w:eastAsia="Arial" w:hAnsi="Arial"/>
          <w:sz w:val="22"/>
          <w:szCs w:val="22"/>
          <w:color w:val="auto"/>
        </w:rPr>
        <w:t>alternative published interest rate that adequately reflects the all-in-cost of funds to the Administrative Agent for funding such Optional Currency Loans in Mexican Pesos.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Euro-Rate for any Loans shall be based upon the Euro-Rate for the currency in which such Loans are requested.</w:t>
      </w:r>
    </w:p>
    <w:p>
      <w:pPr>
        <w:spacing w:after="0" w:line="254" w:lineRule="exact"/>
        <w:rPr>
          <w:sz w:val="20"/>
          <w:szCs w:val="20"/>
          <w:color w:val="auto"/>
        </w:rPr>
      </w:pPr>
    </w:p>
    <w:p>
      <w:pPr>
        <w:ind w:firstLine="1305"/>
        <w:spacing w:after="0" w:line="263" w:lineRule="auto"/>
        <w:tabs>
          <w:tab w:leader="none" w:pos="1566"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Notwithstanding the foregoing, if the Euro-Rate as determined under any method above would be less than zero (0.00), such rate shall be deemed to be zero (0.00) for purposes of this Agreement.</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Euro-Rate Option</w:t>
      </w:r>
      <w:r>
        <w:rPr>
          <w:rFonts w:ascii="Arial" w:cs="Arial" w:eastAsia="Arial" w:hAnsi="Arial"/>
          <w:sz w:val="22"/>
          <w:szCs w:val="22"/>
          <w:color w:val="auto"/>
        </w:rPr>
        <w:t xml:space="preserve"> shall mean the option of the Borrowers to have Loans bear interest at the rate and under the terms and conditions set forth in Section 4.1.1(ii) [Revolving Credit Euro-Rate Option] or Section 4.1.4(ii) [Term Loan Euro-Rate Option], as applicable.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Euro-Rate Termination Date</w:t>
      </w:r>
      <w:r>
        <w:rPr>
          <w:rFonts w:ascii="Arial" w:cs="Arial" w:eastAsia="Arial" w:hAnsi="Arial"/>
          <w:sz w:val="21"/>
          <w:szCs w:val="21"/>
          <w:color w:val="auto"/>
        </w:rPr>
        <w:t xml:space="preserve"> shall have the meaning assigned to such term in Section 4.8 [Euro-Rate Successor Rate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Index].</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shall mean any of the events described in Section 9.1 [Events of Default] and referred to therein as an "Event of Default".</w:t>
      </w:r>
    </w:p>
    <w:p>
      <w:pPr>
        <w:spacing w:after="0" w:line="17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u w:val="single" w:color="auto"/>
          <w:color w:val="auto"/>
        </w:rPr>
        <w:t>Excluded Hedge Liability or Liabilities</w:t>
      </w:r>
      <w:r>
        <w:rPr>
          <w:rFonts w:ascii="Arial" w:cs="Arial" w:eastAsia="Arial" w:hAnsi="Arial"/>
          <w:sz w:val="19"/>
          <w:szCs w:val="19"/>
          <w:color w:val="auto"/>
        </w:rPr>
        <w:t xml:space="preserve"> shall mean,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Excluded Subsidiary</w:t>
      </w:r>
      <w:r>
        <w:rPr>
          <w:rFonts w:ascii="Arial" w:cs="Arial" w:eastAsia="Arial" w:hAnsi="Arial"/>
          <w:sz w:val="22"/>
          <w:szCs w:val="22"/>
          <w:color w:val="auto"/>
        </w:rPr>
        <w:t xml:space="preserve"> shall mean any Immaterial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420"/>
          </w:cols>
          <w:pgMar w:left="240" w:top="1428" w:right="239" w:bottom="1440" w:gutter="0" w:footer="0" w:header="0"/>
        </w:sectPr>
      </w:pPr>
    </w:p>
    <w:bookmarkStart w:id="29" w:name="page30"/>
    <w:bookmarkEnd w:id="29"/>
    <w:p>
      <w:pPr>
        <w:jc w:val="both"/>
        <w:ind w:firstLine="1297"/>
        <w:spacing w:after="0" w:line="284" w:lineRule="auto"/>
        <w:rPr>
          <w:sz w:val="20"/>
          <w:szCs w:val="20"/>
          <w:color w:val="auto"/>
        </w:rPr>
      </w:pP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shall mean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the Borrower under Section 5.6.2 [Replacement of a Lender]) or</w:t>
      </w:r>
    </w:p>
    <w:p>
      <w:pPr>
        <w:spacing w:after="0" w:line="2" w:lineRule="exact"/>
        <w:rPr>
          <w:sz w:val="20"/>
          <w:szCs w:val="20"/>
          <w:color w:val="auto"/>
        </w:rPr>
      </w:pPr>
    </w:p>
    <w:p>
      <w:pPr>
        <w:jc w:val="both"/>
        <w:ind w:firstLine="8"/>
        <w:spacing w:after="0" w:line="292" w:lineRule="auto"/>
        <w:tabs>
          <w:tab w:leader="none" w:pos="329" w:val="left"/>
        </w:tabs>
        <w:numPr>
          <w:ilvl w:val="0"/>
          <w:numId w:val="11"/>
        </w:numPr>
        <w:rPr>
          <w:rFonts w:ascii="Arial" w:cs="Arial" w:eastAsia="Arial" w:hAnsi="Arial"/>
          <w:sz w:val="19"/>
          <w:szCs w:val="19"/>
          <w:color w:val="auto"/>
        </w:rPr>
      </w:pPr>
      <w:r>
        <w:rPr>
          <w:rFonts w:ascii="Arial" w:cs="Arial" w:eastAsia="Arial" w:hAnsi="Arial"/>
          <w:sz w:val="19"/>
          <w:szCs w:val="19"/>
          <w:color w:val="auto"/>
        </w:rPr>
        <w:t>such Lender changes its lending office, except in each case to the extent that, pursuant to Section 5.9.7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Section 5.9.7 [Status of Lenders], and (iv) any U.S. federal withholding Taxes imposed under FATCA (except to the extent imposed due to the failure of the Borrower to provide documentation or information to the IRS).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shall have the meaning set forth in the preamble to this Agreement.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Executive Order No. 13224</w:t>
      </w:r>
      <w:r>
        <w:rPr>
          <w:rFonts w:ascii="Arial" w:cs="Arial" w:eastAsia="Arial" w:hAnsi="Arial"/>
          <w:sz w:val="22"/>
          <w:szCs w:val="22"/>
          <w:color w:val="auto"/>
        </w:rPr>
        <w:t xml:space="preserve"> shall mean the Executive Order No. 13224 on Terrorist Financing, effective September 24, 2001, as the same has been, or shall hereafter be, renewed, extended, amended or replaced.</w:t>
      </w:r>
    </w:p>
    <w:p>
      <w:pPr>
        <w:spacing w:after="0" w:line="175"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shall mean, with respect to the Revolving Credit Commitments, the earlier of (A) April 30, 2024 or (B) the date the Revolving Credit Commitments are terminated and the Revolving Credit Loans are accelerated hereunder.</w:t>
      </w:r>
    </w:p>
    <w:p>
      <w:pPr>
        <w:spacing w:after="0" w:line="10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u w:val="single" w:color="auto"/>
          <w:color w:val="auto"/>
        </w:rPr>
        <w:t>FATCA</w:t>
      </w:r>
      <w:r>
        <w:rPr>
          <w:rFonts w:ascii="Arial" w:cs="Arial" w:eastAsia="Arial" w:hAnsi="Arial"/>
          <w:sz w:val="19"/>
          <w:szCs w:val="19"/>
          <w:color w:val="auto"/>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3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420"/>
          </w:cols>
          <w:pgMar w:left="240" w:top="1428" w:right="239" w:bottom="1440" w:gutter="0" w:footer="0" w:header="0"/>
        </w:sectPr>
      </w:pPr>
    </w:p>
    <w:bookmarkStart w:id="30" w:name="page31"/>
    <w:bookmarkEnd w:id="30"/>
    <w:p>
      <w:pPr>
        <w:jc w:val="both"/>
        <w:ind w:firstLine="1297"/>
        <w:spacing w:after="0" w:line="263" w:lineRule="auto"/>
        <w:rPr>
          <w:sz w:val="20"/>
          <w:szCs w:val="20"/>
          <w:color w:val="auto"/>
        </w:rPr>
      </w:pPr>
      <w:r>
        <w:rPr>
          <w:rFonts w:ascii="Arial" w:cs="Arial" w:eastAsia="Arial" w:hAnsi="Arial"/>
          <w:sz w:val="22"/>
          <w:szCs w:val="22"/>
          <w:u w:val="single" w:color="auto"/>
          <w:color w:val="auto"/>
        </w:rPr>
        <w:t>Financial Support Direction</w:t>
      </w:r>
      <w:r>
        <w:rPr>
          <w:rFonts w:ascii="Arial" w:cs="Arial" w:eastAsia="Arial" w:hAnsi="Arial"/>
          <w:sz w:val="22"/>
          <w:szCs w:val="22"/>
          <w:color w:val="auto"/>
        </w:rPr>
        <w:t xml:space="preserve"> shall mean a financial support direction issued by the Pensions Regulator under section 43 of the Pensions Act 2004.</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Fixed Charges</w:t>
      </w:r>
      <w:r>
        <w:rPr>
          <w:rFonts w:ascii="Arial" w:cs="Arial" w:eastAsia="Arial" w:hAnsi="Arial"/>
          <w:sz w:val="22"/>
          <w:szCs w:val="22"/>
          <w:color w:val="auto"/>
        </w:rPr>
        <w:t xml:space="preserve"> shall mean, for any period of determination, the sum of each of the following, to the extent actually paid in cash during such fiscal period, (i) income taxes (excluding taxes related to repatriation of foreign cash and taxes related to non-ordinary course asset sales), (ii) required principal payments on Indebtedness (without giving effect to any voluntary or mandatory prepayments), (iii) required capital lease payments, (iv) dividends and redemptions, (v) capital expenditures and (vi) interest paid.</w:t>
      </w:r>
    </w:p>
    <w:p>
      <w:pPr>
        <w:spacing w:after="0" w:line="192"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Foreign Borrower</w:t>
      </w:r>
      <w:r>
        <w:rPr>
          <w:rFonts w:ascii="Arial" w:cs="Arial" w:eastAsia="Arial" w:hAnsi="Arial"/>
          <w:sz w:val="19"/>
          <w:szCs w:val="19"/>
          <w:color w:val="auto"/>
        </w:rPr>
        <w:t xml:space="preserve"> shall mean a Borrower organized under the laws of a jurisdiction outside the United States of America, any State thereof or the District of Columbia, and </w:t>
      </w:r>
      <w:r>
        <w:rPr>
          <w:rFonts w:ascii="Arial" w:cs="Arial" w:eastAsia="Arial" w:hAnsi="Arial"/>
          <w:sz w:val="19"/>
          <w:szCs w:val="19"/>
          <w:u w:val="single" w:color="auto"/>
          <w:color w:val="auto"/>
        </w:rPr>
        <w:t>Foreign Borrowers</w:t>
      </w:r>
      <w:r>
        <w:rPr>
          <w:rFonts w:ascii="Arial" w:cs="Arial" w:eastAsia="Arial" w:hAnsi="Arial"/>
          <w:sz w:val="19"/>
          <w:szCs w:val="19"/>
          <w:color w:val="auto"/>
        </w:rPr>
        <w:t xml:space="preserve"> shall mean all Foreign Borrowers hereunder.</w:t>
      </w:r>
    </w:p>
    <w:p>
      <w:pPr>
        <w:spacing w:after="0" w:line="10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Foreign Currency Hedge</w:t>
      </w:r>
      <w:r>
        <w:rPr>
          <w:rFonts w:ascii="Arial" w:cs="Arial" w:eastAsia="Arial" w:hAnsi="Arial"/>
          <w:sz w:val="22"/>
          <w:szCs w:val="22"/>
          <w:color w:val="auto"/>
        </w:rPr>
        <w:t xml:space="preserve">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Foreign Currency Hedge Liabilities</w:t>
      </w:r>
      <w:r>
        <w:rPr>
          <w:rFonts w:ascii="Arial" w:cs="Arial" w:eastAsia="Arial" w:hAnsi="Arial"/>
          <w:sz w:val="22"/>
          <w:szCs w:val="22"/>
          <w:color w:val="auto"/>
        </w:rPr>
        <w:t xml:space="preserve"> shall have the meaning assigned in the definition of Lender Provided Foreign Currency Hedge.</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Foreign Guarantor</w:t>
      </w:r>
      <w:r>
        <w:rPr>
          <w:rFonts w:ascii="Arial" w:cs="Arial" w:eastAsia="Arial" w:hAnsi="Arial"/>
          <w:sz w:val="19"/>
          <w:szCs w:val="19"/>
          <w:color w:val="auto"/>
        </w:rPr>
        <w:t xml:space="preserve"> shall mean a Guarantor organized under the laws of a jurisdiction outside the United States of America, any State thereof or the District of Columbia, and </w:t>
      </w:r>
      <w:r>
        <w:rPr>
          <w:rFonts w:ascii="Arial" w:cs="Arial" w:eastAsia="Arial" w:hAnsi="Arial"/>
          <w:sz w:val="19"/>
          <w:szCs w:val="19"/>
          <w:u w:val="single" w:color="auto"/>
          <w:color w:val="auto"/>
        </w:rPr>
        <w:t>Foreign Guarantors</w:t>
      </w:r>
      <w:r>
        <w:rPr>
          <w:rFonts w:ascii="Arial" w:cs="Arial" w:eastAsia="Arial" w:hAnsi="Arial"/>
          <w:sz w:val="19"/>
          <w:szCs w:val="19"/>
          <w:color w:val="auto"/>
        </w:rPr>
        <w:t xml:space="preserve"> shall mean all Foreign Guarantors hereunder.</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Foreign Lender</w:t>
      </w:r>
      <w:r>
        <w:rPr>
          <w:rFonts w:ascii="Arial" w:cs="Arial" w:eastAsia="Arial" w:hAnsi="Arial"/>
          <w:sz w:val="22"/>
          <w:szCs w:val="22"/>
          <w:color w:val="auto"/>
        </w:rPr>
        <w:t xml:space="preserve"> shall mean (i) if the Borrower is a U.S. Person, a Lender that is not a U.S. Person, and (ii) if the Borrower is not a U.S. Person, a Lender that is resident or organized under the Laws of a jurisdiction other than that in which the Borrower is resident for tax purposes.</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Foreign Loan Party</w:t>
      </w:r>
      <w:r>
        <w:rPr>
          <w:rFonts w:ascii="Arial" w:cs="Arial" w:eastAsia="Arial" w:hAnsi="Arial"/>
          <w:sz w:val="22"/>
          <w:szCs w:val="22"/>
          <w:color w:val="auto"/>
        </w:rPr>
        <w:t xml:space="preserve"> shall mean a Foreign Borrower or Foreign Guarantor, and </w:t>
      </w:r>
      <w:r>
        <w:rPr>
          <w:rFonts w:ascii="Arial" w:cs="Arial" w:eastAsia="Arial" w:hAnsi="Arial"/>
          <w:sz w:val="22"/>
          <w:szCs w:val="22"/>
          <w:u w:val="single" w:color="auto"/>
          <w:color w:val="auto"/>
        </w:rPr>
        <w:t>Foreign Loan Parties</w:t>
      </w:r>
      <w:r>
        <w:rPr>
          <w:rFonts w:ascii="Arial" w:cs="Arial" w:eastAsia="Arial" w:hAnsi="Arial"/>
          <w:sz w:val="22"/>
          <w:szCs w:val="22"/>
          <w:color w:val="auto"/>
        </w:rPr>
        <w:t xml:space="preserve"> shall mean all Foreign Borrowers and Foreign Guarantors hereunder.</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Foreign Subsidiary</w:t>
      </w:r>
      <w:r>
        <w:rPr>
          <w:rFonts w:ascii="Arial" w:cs="Arial" w:eastAsia="Arial" w:hAnsi="Arial"/>
          <w:sz w:val="22"/>
          <w:szCs w:val="22"/>
          <w:color w:val="auto"/>
        </w:rPr>
        <w:t xml:space="preserve"> shall mean a Subsidiary of a Loan Party organized under the laws of a jurisdiction outside the United States of America, any State thereof or the District of Columbia, and </w:t>
      </w:r>
      <w:r>
        <w:rPr>
          <w:rFonts w:ascii="Arial" w:cs="Arial" w:eastAsia="Arial" w:hAnsi="Arial"/>
          <w:sz w:val="22"/>
          <w:szCs w:val="22"/>
          <w:u w:val="single" w:color="auto"/>
          <w:color w:val="auto"/>
        </w:rPr>
        <w:t>Foreign Subsidiaries</w:t>
      </w:r>
      <w:r>
        <w:rPr>
          <w:rFonts w:ascii="Arial" w:cs="Arial" w:eastAsia="Arial" w:hAnsi="Arial"/>
          <w:sz w:val="22"/>
          <w:szCs w:val="22"/>
          <w:color w:val="auto"/>
        </w:rPr>
        <w:t xml:space="preserve"> shall mean all Foreign Subsidiaries of the Loan Parties.</w:t>
      </w:r>
    </w:p>
    <w:p>
      <w:pPr>
        <w:spacing w:after="0" w:line="18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GAAP</w:t>
      </w:r>
      <w:r>
        <w:rPr>
          <w:rFonts w:ascii="Arial" w:cs="Arial" w:eastAsia="Arial" w:hAnsi="Arial"/>
          <w:sz w:val="19"/>
          <w:szCs w:val="19"/>
          <w:color w:val="auto"/>
        </w:rPr>
        <w:t xml:space="preserve"> shall mean generally accepted accounting principles as are in effect from time to time, subject to the provisions of Section 1.3 [Accounting Principles], and applied on a consistent basis both as to classification of items and amounts.</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Gross Leverage Ratio</w:t>
      </w:r>
      <w:r>
        <w:rPr>
          <w:rFonts w:ascii="Arial" w:cs="Arial" w:eastAsia="Arial" w:hAnsi="Arial"/>
          <w:sz w:val="22"/>
          <w:szCs w:val="22"/>
          <w:color w:val="auto"/>
        </w:rPr>
        <w:t xml:space="preserve"> shall mean, as of the end of any date of determination, the ratio of (i) Consolidated Indebtedness to (ii) Consolidated EBITDA for the four (4) consecutive fiscal quarters then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420"/>
          </w:cols>
          <w:pgMar w:left="240" w:top="1428" w:right="239" w:bottom="1440" w:gutter="0" w:footer="0" w:header="0"/>
        </w:sectPr>
      </w:pPr>
    </w:p>
    <w:bookmarkStart w:id="31" w:name="page32"/>
    <w:bookmarkEnd w:id="31"/>
    <w:p>
      <w:pPr>
        <w:jc w:val="both"/>
        <w:ind w:firstLine="1297"/>
        <w:spacing w:after="0" w:line="263" w:lineRule="auto"/>
        <w:rPr>
          <w:sz w:val="20"/>
          <w:szCs w:val="20"/>
          <w:color w:val="auto"/>
        </w:rPr>
      </w:pPr>
      <w:r>
        <w:rPr>
          <w:rFonts w:ascii="Arial" w:cs="Arial" w:eastAsia="Arial" w:hAnsi="Arial"/>
          <w:sz w:val="22"/>
          <w:szCs w:val="22"/>
          <w:u w:val="single" w:color="auto"/>
          <w:color w:val="auto"/>
        </w:rPr>
        <w:t>Guarantor</w:t>
      </w:r>
      <w:r>
        <w:rPr>
          <w:rFonts w:ascii="Arial" w:cs="Arial" w:eastAsia="Arial" w:hAnsi="Arial"/>
          <w:sz w:val="22"/>
          <w:szCs w:val="22"/>
          <w:color w:val="auto"/>
        </w:rPr>
        <w:t xml:space="preserve"> shall mean each of the parties to this Agreement which is designated as a "Guarantor" on the signature page hereof and each other Person which joins this Agreement as a Guarantor after the date hereof.</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Guarantor Joinder</w:t>
      </w:r>
      <w:r>
        <w:rPr>
          <w:rFonts w:ascii="Arial" w:cs="Arial" w:eastAsia="Arial" w:hAnsi="Arial"/>
          <w:sz w:val="22"/>
          <w:szCs w:val="22"/>
          <w:color w:val="auto"/>
        </w:rPr>
        <w:t xml:space="preserve"> shall mean a joinder by a Person as a Guarantor under the Loan Documents in the form of </w:t>
      </w:r>
      <w:r>
        <w:rPr>
          <w:rFonts w:ascii="Arial" w:cs="Arial" w:eastAsia="Arial" w:hAnsi="Arial"/>
          <w:sz w:val="22"/>
          <w:szCs w:val="22"/>
          <w:u w:val="single" w:color="auto"/>
          <w:color w:val="auto"/>
        </w:rPr>
        <w:t>Exhibit 1.1(G)(1).</w:t>
      </w:r>
    </w:p>
    <w:p>
      <w:pPr>
        <w:spacing w:after="0" w:line="17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of any Person shall mean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4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Guaranty Agreement</w:t>
      </w:r>
      <w:r>
        <w:rPr>
          <w:rFonts w:ascii="Arial" w:cs="Arial" w:eastAsia="Arial" w:hAnsi="Arial"/>
          <w:sz w:val="22"/>
          <w:szCs w:val="22"/>
          <w:color w:val="auto"/>
        </w:rPr>
        <w:t xml:space="preserve"> shall mean the Third Amended and Restated Continuing Agreement of Guaranty and Suretyship in substantially the form of </w:t>
      </w:r>
      <w:r>
        <w:rPr>
          <w:rFonts w:ascii="Arial" w:cs="Arial" w:eastAsia="Arial" w:hAnsi="Arial"/>
          <w:sz w:val="22"/>
          <w:szCs w:val="22"/>
          <w:u w:val="single" w:color="auto"/>
          <w:color w:val="auto"/>
        </w:rPr>
        <w:t>Exhibit 1.1(G)(2)</w:t>
      </w:r>
      <w:r>
        <w:rPr>
          <w:rFonts w:ascii="Arial" w:cs="Arial" w:eastAsia="Arial" w:hAnsi="Arial"/>
          <w:sz w:val="22"/>
          <w:szCs w:val="22"/>
          <w:color w:val="auto"/>
        </w:rPr>
        <w:t xml:space="preserve"> executed and delivered by each of the Guarantors.</w:t>
      </w:r>
    </w:p>
    <w:p>
      <w:pPr>
        <w:spacing w:after="0" w:line="175" w:lineRule="exact"/>
        <w:rPr>
          <w:sz w:val="20"/>
          <w:szCs w:val="20"/>
          <w:color w:val="auto"/>
        </w:rPr>
      </w:pPr>
    </w:p>
    <w:p>
      <w:pPr>
        <w:ind w:left="1300"/>
        <w:spacing w:after="0" w:line="446" w:lineRule="auto"/>
        <w:rPr>
          <w:sz w:val="20"/>
          <w:szCs w:val="20"/>
          <w:color w:val="auto"/>
        </w:rPr>
      </w:pP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shall mean a Subsidiary of a Loan Party which does not qualify as a Material Subsidiary. </w:t>
      </w:r>
      <w:r>
        <w:rPr>
          <w:rFonts w:ascii="Arial" w:cs="Arial" w:eastAsia="Arial" w:hAnsi="Arial"/>
          <w:sz w:val="19"/>
          <w:szCs w:val="19"/>
          <w:u w:val="single" w:color="auto"/>
          <w:color w:val="auto"/>
        </w:rPr>
        <w:t>Increasing Lender</w:t>
      </w:r>
      <w:r>
        <w:rPr>
          <w:rFonts w:ascii="Arial" w:cs="Arial" w:eastAsia="Arial" w:hAnsi="Arial"/>
          <w:sz w:val="19"/>
          <w:szCs w:val="19"/>
          <w:color w:val="auto"/>
        </w:rPr>
        <w:t xml:space="preserve"> shall have the meaning assigned to such term in Section 12.16 [Increase in Commitments] hereof. </w:t>
      </w:r>
      <w:r>
        <w:rPr>
          <w:rFonts w:ascii="Arial" w:cs="Arial" w:eastAsia="Arial" w:hAnsi="Arial"/>
          <w:sz w:val="19"/>
          <w:szCs w:val="19"/>
          <w:u w:val="single" w:color="auto"/>
          <w:color w:val="auto"/>
        </w:rPr>
        <w:t>Incremental Lenders</w:t>
      </w:r>
      <w:r>
        <w:rPr>
          <w:rFonts w:ascii="Arial" w:cs="Arial" w:eastAsia="Arial" w:hAnsi="Arial"/>
          <w:sz w:val="19"/>
          <w:szCs w:val="19"/>
          <w:color w:val="auto"/>
        </w:rPr>
        <w:t xml:space="preserve"> shall have the meaning assigned to such term in Section 12.16 [Increase in Commitments]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Incremental Commitments</w:t>
      </w:r>
      <w:r>
        <w:rPr>
          <w:rFonts w:ascii="Arial" w:cs="Arial" w:eastAsia="Arial" w:hAnsi="Arial"/>
          <w:sz w:val="22"/>
          <w:szCs w:val="22"/>
          <w:color w:val="auto"/>
        </w:rPr>
        <w:t xml:space="preserve"> shall have the meaning assigned to such term in Section 12.16 [Increase in Commitments] hereof.</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Incremental Loans</w:t>
      </w:r>
      <w:r>
        <w:rPr>
          <w:rFonts w:ascii="Arial" w:cs="Arial" w:eastAsia="Arial" w:hAnsi="Arial"/>
          <w:sz w:val="19"/>
          <w:szCs w:val="19"/>
          <w:color w:val="auto"/>
        </w:rPr>
        <w:t xml:space="preserve"> shall have the meaning assigned to such term in Section 12.16 [Increase in Commitments]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Incremental Revolving Credit Commitment</w:t>
      </w:r>
      <w:r>
        <w:rPr>
          <w:rFonts w:ascii="Arial" w:cs="Arial" w:eastAsia="Arial" w:hAnsi="Arial"/>
          <w:sz w:val="22"/>
          <w:szCs w:val="22"/>
          <w:color w:val="auto"/>
        </w:rPr>
        <w:t xml:space="preserve"> shall have the meaning assigned to such term in Section 12.16 [Increase in Commitments] hereof.</w:t>
      </w: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Incremental Revolving Credit Increase</w:t>
      </w:r>
      <w:r>
        <w:rPr>
          <w:rFonts w:ascii="Arial" w:cs="Arial" w:eastAsia="Arial" w:hAnsi="Arial"/>
          <w:sz w:val="22"/>
          <w:szCs w:val="22"/>
          <w:color w:val="auto"/>
        </w:rPr>
        <w:t xml:space="preserve"> shall have the meaning assigned to such term in Section 12.16 [Increase in Commitments] hereof.</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xml:space="preserve"> shall have the meaning assigned to such term in Section 12.16 [Increase in Commitments] hereof.</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shall have the meaning assigned to such term in Section 12.16 [Increase in Commitments]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420"/>
          </w:cols>
          <w:pgMar w:left="240" w:top="1428" w:right="239" w:bottom="1440" w:gutter="0" w:footer="0" w:header="0"/>
        </w:sectPr>
      </w:pPr>
    </w:p>
    <w:bookmarkStart w:id="32" w:name="page33"/>
    <w:bookmarkEnd w:id="32"/>
    <w:p>
      <w:pPr>
        <w:jc w:val="both"/>
        <w:ind w:firstLine="1297"/>
        <w:spacing w:after="0" w:line="288" w:lineRule="auto"/>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 (iii) reimbursement obligations (contingent or otherwise) under any letter of credit agreement, (iv) obligations under any currency swap agreement, interest rate swap, cap, collar or floor agreement or other interest rate management device calculated in accordance with GAAP, (v)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sixty (60) days past due), or (vi) any Guaranty of Indebtedness for borrowed money. Notwithstanding anything in this Agreement to the contrary, the obligations of any Loan Parties under UP Settlement shall not constitute Indebtedness.</w:t>
      </w:r>
    </w:p>
    <w:p>
      <w:pPr>
        <w:spacing w:after="0" w:line="15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shall mean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shall have the meaning specified in Section 12.3.2 [Indemnification by the Loan Parties].</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shall mean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Loan Parties or any of their Subsidiaries after the date of this Agreement, such information is clearly identified at the time of delivery as confidential.</w:t>
      </w:r>
    </w:p>
    <w:p>
      <w:pPr>
        <w:spacing w:after="0" w:line="14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u w:val="single" w:color="auto"/>
          <w:color w:val="auto"/>
        </w:rPr>
        <w:t>Insolvency Proceeding</w:t>
      </w:r>
      <w:r>
        <w:rPr>
          <w:rFonts w:ascii="Arial" w:cs="Arial" w:eastAsia="Arial" w:hAnsi="Arial"/>
          <w:sz w:val="19"/>
          <w:szCs w:val="19"/>
          <w:color w:val="auto"/>
        </w:rPr>
        <w:t xml:space="preserve"> shall mean, with respect to any Person, (a) a case, action or proceeding with respect to such Person (i) before any court or any other Official Body under any bankruptcy, insolvency, administration, reorganization, arrangement, wind-up or other similar Law now or hereafter in effect, or (ii) for the appointment of a receiver, interim receiver, receiver and manager, administrator, liquidator, assignee, custodian, monitor, trustee, sequestrator, conservator (or similar official) of any Loan Party or otherwise relating to the liquidation, sale,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5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xml:space="preserve"> shall mean the Third Amended and Restated Intercompany Subordination Agreement among the Loan Parties in the form attached hereto as </w:t>
      </w:r>
      <w:r>
        <w:rPr>
          <w:rFonts w:ascii="Arial" w:cs="Arial" w:eastAsia="Arial" w:hAnsi="Arial"/>
          <w:sz w:val="22"/>
          <w:szCs w:val="22"/>
          <w:u w:val="single" w:color="auto"/>
          <w:color w:val="auto"/>
        </w:rPr>
        <w:t>Exhibit 1.1(I)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420"/>
          </w:cols>
          <w:pgMar w:left="240" w:top="1428" w:right="239" w:bottom="1440" w:gutter="0" w:footer="0" w:header="0"/>
        </w:sectPr>
      </w:pPr>
    </w:p>
    <w:bookmarkStart w:id="33" w:name="page34"/>
    <w:bookmarkEnd w:id="33"/>
    <w:p>
      <w:pPr>
        <w:jc w:val="both"/>
        <w:ind w:firstLine="1297"/>
        <w:spacing w:after="0" w:line="288" w:lineRule="auto"/>
        <w:rPr>
          <w:sz w:val="20"/>
          <w:szCs w:val="20"/>
          <w:color w:val="auto"/>
        </w:rPr>
      </w:pP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shall mean the period of time selected by the Borrowers in connection with (and to apply to) any election permitted hereunder by the Borrowers to have Revolving Credit Loans or Term Loans bear interest under the Euro-Rate Option. Subject to the last sentence of this definition, such period shall be one Month with respect to Optional Currency Loans and one week or one, two, three or six Months with respect to all other Revolving Credit Loans. Such Interest Period shall commence on the effective date of such Interest Rate Option, which shall be (i) the Borrowing Date if the Borrowers is requesting new Loans, or (ii) the date of renewal of or conversion to the Euro-Rate Option if the Borrowers are renewing or converting to the Euro-Rate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 (B) the Borrowers shall not select, convert to or renew an Interest Period for any portion of the Loans that would end after the Expiration Date or the Maturity Date, as applicable.</w:t>
      </w:r>
    </w:p>
    <w:p>
      <w:pPr>
        <w:spacing w:after="0" w:line="200" w:lineRule="exact"/>
        <w:rPr>
          <w:sz w:val="20"/>
          <w:szCs w:val="20"/>
          <w:color w:val="auto"/>
        </w:rPr>
      </w:pPr>
    </w:p>
    <w:p>
      <w:pPr>
        <w:spacing w:after="0" w:line="21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Interest Rate Hedge</w:t>
      </w:r>
      <w:r>
        <w:rPr>
          <w:rFonts w:ascii="Arial" w:cs="Arial" w:eastAsia="Arial" w:hAnsi="Arial"/>
          <w:sz w:val="19"/>
          <w:szCs w:val="19"/>
          <w:color w:val="auto"/>
        </w:rPr>
        <w:t xml:space="preserve"> shall mean an interest rate exchange, collar, cap, swap, adjustable strike cap, adjustable strike corridor, cross-currency swap or similar agreements entered into by any Loan Party or its Subsidiaries in order to provide protection to, or minimize the impact upon, such Loan Party of increasing floating rates of interest applicable to Indebtedness.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Interest Rate Hedge Liabilities</w:t>
      </w:r>
      <w:r>
        <w:rPr>
          <w:rFonts w:ascii="Arial" w:cs="Arial" w:eastAsia="Arial" w:hAnsi="Arial"/>
          <w:sz w:val="22"/>
          <w:szCs w:val="22"/>
          <w:color w:val="auto"/>
        </w:rPr>
        <w:t xml:space="preserve"> shall have the meaning assigned in the definition of Lender Provided Interest Rate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Hedge.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Interest Rate Option</w:t>
      </w:r>
      <w:r>
        <w:rPr>
          <w:rFonts w:ascii="Arial" w:cs="Arial" w:eastAsia="Arial" w:hAnsi="Arial"/>
          <w:sz w:val="22"/>
          <w:szCs w:val="22"/>
          <w:color w:val="auto"/>
        </w:rPr>
        <w:t xml:space="preserve"> shall mean any Euro-Rate Option or Base Rate Option.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IRS</w:t>
      </w:r>
      <w:r>
        <w:rPr>
          <w:rFonts w:ascii="Arial" w:cs="Arial" w:eastAsia="Arial" w:hAnsi="Arial"/>
          <w:sz w:val="22"/>
          <w:szCs w:val="22"/>
          <w:color w:val="auto"/>
        </w:rPr>
        <w:t xml:space="preserve"> shall mean the Internal Revenue Service.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ISP98</w:t>
      </w:r>
      <w:r>
        <w:rPr>
          <w:rFonts w:ascii="Arial" w:cs="Arial" w:eastAsia="Arial" w:hAnsi="Arial"/>
          <w:sz w:val="22"/>
          <w:szCs w:val="22"/>
          <w:color w:val="auto"/>
        </w:rPr>
        <w:t xml:space="preserve"> shall have the meaning specified in Section 12.11.1 [Governing Law].</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Issuing Lender</w:t>
      </w:r>
      <w:r>
        <w:rPr>
          <w:rFonts w:ascii="Arial" w:cs="Arial" w:eastAsia="Arial" w:hAnsi="Arial"/>
          <w:sz w:val="22"/>
          <w:szCs w:val="22"/>
          <w:color w:val="auto"/>
        </w:rPr>
        <w:t xml:space="preserve"> shall mean PNC, in its individual capacity as issuer of Letters of Credit hereunder, and any other Lender that Borrowers, Administrative Agent (whose consent shall not be unreasonably withheld) and such other Lender may agree may from time to time issue Letters of Credit hereunder.</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Joint Venture</w:t>
      </w:r>
      <w:r>
        <w:rPr>
          <w:rFonts w:ascii="Arial" w:cs="Arial" w:eastAsia="Arial" w:hAnsi="Arial"/>
          <w:sz w:val="22"/>
          <w:szCs w:val="22"/>
          <w:color w:val="auto"/>
        </w:rPr>
        <w:t xml:space="preserve"> shall mean a corporation, partnership, limited or unlimited liability company or other entity in which any Person other than the Loan Parties and their Subsidiaries holds, directly or indirectly, an equity interest.</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Law</w:t>
      </w:r>
      <w:r>
        <w:rPr>
          <w:rFonts w:ascii="Arial" w:cs="Arial" w:eastAsia="Arial" w:hAnsi="Arial"/>
          <w:sz w:val="19"/>
          <w:szCs w:val="19"/>
          <w:color w:val="auto"/>
        </w:rPr>
        <w:t xml:space="preserve"> shall mean any law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420"/>
          </w:cols>
          <w:pgMar w:left="240" w:top="1428" w:right="239" w:bottom="1440" w:gutter="0" w:footer="0" w:header="0"/>
        </w:sectPr>
      </w:pPr>
    </w:p>
    <w:bookmarkStart w:id="34" w:name="page35"/>
    <w:bookmarkEnd w:id="34"/>
    <w:p>
      <w:pPr>
        <w:jc w:val="both"/>
        <w:ind w:firstLine="1297"/>
        <w:spacing w:after="0" w:line="263" w:lineRule="auto"/>
        <w:rPr>
          <w:sz w:val="20"/>
          <w:szCs w:val="20"/>
          <w:color w:val="auto"/>
        </w:rPr>
      </w:pPr>
      <w:r>
        <w:rPr>
          <w:rFonts w:ascii="Arial" w:cs="Arial" w:eastAsia="Arial" w:hAnsi="Arial"/>
          <w:sz w:val="22"/>
          <w:szCs w:val="22"/>
          <w:u w:val="single" w:color="auto"/>
          <w:color w:val="auto"/>
        </w:rPr>
        <w:t>Lender Joinder</w:t>
      </w:r>
      <w:r>
        <w:rPr>
          <w:rFonts w:ascii="Arial" w:cs="Arial" w:eastAsia="Arial" w:hAnsi="Arial"/>
          <w:sz w:val="22"/>
          <w:szCs w:val="22"/>
          <w:color w:val="auto"/>
        </w:rPr>
        <w:t xml:space="preserve"> shall mean a joinder by a Lender under this Agreement and the other Loan Documents in substantially the form of </w:t>
      </w:r>
      <w:r>
        <w:rPr>
          <w:rFonts w:ascii="Arial" w:cs="Arial" w:eastAsia="Arial" w:hAnsi="Arial"/>
          <w:sz w:val="22"/>
          <w:szCs w:val="22"/>
          <w:u w:val="single" w:color="auto"/>
          <w:color w:val="auto"/>
        </w:rPr>
        <w:t>Exhibit 1.1(L)</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u w:val="single" w:color="auto"/>
          <w:color w:val="auto"/>
        </w:rPr>
        <w:t>Lender Provided Commodity Hedge</w:t>
      </w:r>
      <w:r>
        <w:rPr>
          <w:rFonts w:ascii="Arial" w:cs="Arial" w:eastAsia="Arial" w:hAnsi="Arial"/>
          <w:sz w:val="19"/>
          <w:szCs w:val="19"/>
          <w:color w:val="auto"/>
        </w:rPr>
        <w:t xml:space="preserve"> shall mean a Commodity Hedge which is provided by any Lender or its Affiliate and: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 Provided Commodity Hedge (the "</w:t>
      </w:r>
      <w:r>
        <w:rPr>
          <w:rFonts w:ascii="Arial" w:cs="Arial" w:eastAsia="Arial" w:hAnsi="Arial"/>
          <w:sz w:val="19"/>
          <w:szCs w:val="19"/>
          <w:b w:val="1"/>
          <w:bCs w:val="1"/>
          <w:color w:val="auto"/>
        </w:rPr>
        <w:t>Commodity Hedge Liabilities</w:t>
      </w:r>
      <w:r>
        <w:rPr>
          <w:rFonts w:ascii="Arial" w:cs="Arial" w:eastAsia="Arial" w:hAnsi="Arial"/>
          <w:sz w:val="19"/>
          <w:szCs w:val="19"/>
          <w:color w:val="auto"/>
        </w:rPr>
        <w:t>") by any Loan Party that is party to such Lender Provided Commodity Hedge shall, for purposes of this Agreement and all other Loan 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w:t>
      </w:r>
    </w:p>
    <w:p>
      <w:pPr>
        <w:spacing w:after="0" w:line="15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u w:val="single" w:color="auto"/>
          <w:color w:val="auto"/>
        </w:rPr>
        <w:t>Lender Provided Foreign Currency Hedge</w:t>
      </w:r>
      <w:r>
        <w:rPr>
          <w:rFonts w:ascii="Arial" w:cs="Arial" w:eastAsia="Arial" w:hAnsi="Arial"/>
          <w:sz w:val="19"/>
          <w:szCs w:val="19"/>
          <w:color w:val="auto"/>
        </w:rPr>
        <w:t xml:space="preserve"> shall mean a Foreign Currency Hedge which is provided by any Lender or its Affiliate and: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 Provided Foreign Currency Hedge (the "</w:t>
      </w:r>
      <w:r>
        <w:rPr>
          <w:rFonts w:ascii="Arial" w:cs="Arial" w:eastAsia="Arial" w:hAnsi="Arial"/>
          <w:sz w:val="19"/>
          <w:szCs w:val="19"/>
          <w:b w:val="1"/>
          <w:bCs w:val="1"/>
          <w:color w:val="auto"/>
        </w:rPr>
        <w:t>Foreign Currency Hedge Liabilities</w:t>
      </w:r>
      <w:r>
        <w:rPr>
          <w:rFonts w:ascii="Arial" w:cs="Arial" w:eastAsia="Arial" w:hAnsi="Arial"/>
          <w:sz w:val="19"/>
          <w:szCs w:val="19"/>
          <w:color w:val="auto"/>
        </w:rPr>
        <w:t>") by any Loan Party that is party to such Lender Provided Foreign Currency Hedge shall, for purposes of this Agreement and all other Loan 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w:t>
      </w:r>
    </w:p>
    <w:p>
      <w:pPr>
        <w:spacing w:after="0" w:line="15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u w:val="single" w:color="auto"/>
          <w:color w:val="auto"/>
        </w:rPr>
        <w:t>Lender Provided Interest Rate Hedge</w:t>
      </w:r>
      <w:r>
        <w:rPr>
          <w:rFonts w:ascii="Arial" w:cs="Arial" w:eastAsia="Arial" w:hAnsi="Arial"/>
          <w:sz w:val="19"/>
          <w:szCs w:val="19"/>
          <w:color w:val="auto"/>
        </w:rPr>
        <w:t xml:space="preserve"> shall mean an Interest Rate Hedge which is provided by any Lender or its Affiliate and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 Provided Interest Rate Hedge (the "</w:t>
      </w:r>
      <w:r>
        <w:rPr>
          <w:rFonts w:ascii="Arial" w:cs="Arial" w:eastAsia="Arial" w:hAnsi="Arial"/>
          <w:sz w:val="19"/>
          <w:szCs w:val="19"/>
          <w:b w:val="1"/>
          <w:bCs w:val="1"/>
          <w:color w:val="auto"/>
        </w:rPr>
        <w:t>Interest Rate Hedge Liabilities</w:t>
      </w:r>
      <w:r>
        <w:rPr>
          <w:rFonts w:ascii="Arial" w:cs="Arial" w:eastAsia="Arial" w:hAnsi="Arial"/>
          <w:sz w:val="19"/>
          <w:szCs w:val="19"/>
          <w:color w:val="auto"/>
        </w:rPr>
        <w:t>") by any Loan Party that is party to such Lender Provided Interest Rate Hedge shall, for purposes of this Agreement and all other Loan 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 The Liens securing the Interest Rate Hedge Liabilities shall be pari passu with the Liens securing all other Obligations under this Agreement and the other Loan Documents, subject to the express provisions of Section 9.2.4 [Application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1428" w:right="239" w:bottom="1440" w:gutter="0" w:footer="0" w:header="0"/>
        </w:sectPr>
      </w:pPr>
    </w:p>
    <w:bookmarkStart w:id="35" w:name="page36"/>
    <w:bookmarkEnd w:id="35"/>
    <w:p>
      <w:pPr>
        <w:jc w:val="both"/>
        <w:ind w:firstLine="1297"/>
        <w:spacing w:after="0" w:line="302" w:lineRule="auto"/>
        <w:rPr>
          <w:sz w:val="20"/>
          <w:szCs w:val="20"/>
          <w:color w:val="auto"/>
        </w:rPr>
      </w:pP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shall mean the financial institutions named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Lenders as security for the Obligations, "Lenders" shall include any Affiliate of a Lender to which such Obligation is owed.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shall have the meaning specified in Section 2.8.1 [Issuance of Letters of Credit].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Letter of Credit Borrowing</w:t>
      </w:r>
      <w:r>
        <w:rPr>
          <w:rFonts w:ascii="Arial" w:cs="Arial" w:eastAsia="Arial" w:hAnsi="Arial"/>
          <w:sz w:val="19"/>
          <w:szCs w:val="19"/>
          <w:color w:val="auto"/>
        </w:rPr>
        <w:t xml:space="preserve"> shall have the meaning specified in Section 2.8.3 [Disbursements, Reimbursement].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shall have the meaning specified in Section 2.8.2 [Letter of Credit Fees].</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Letter of Credit Obligation</w:t>
      </w:r>
      <w:r>
        <w:rPr>
          <w:rFonts w:ascii="Arial" w:cs="Arial" w:eastAsia="Arial" w:hAnsi="Arial"/>
          <w:sz w:val="22"/>
          <w:szCs w:val="22"/>
          <w:color w:val="auto"/>
        </w:rPr>
        <w:t xml:space="preserve"> shall mean, as of any date of determination, the aggregate Dollar Equivalent amount available to be drawn under all outstanding Letters of Credit on such date (if any Letter of Credit shall increase in amount automatically in the future, such aggregate Dollar Equivalent amount available to be drawn shall currently give effect to any such future increase)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aggregate Dollar Equivalent amount of Reimbursement Obligations and Letter of Credit Borrowings on such date.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Letter of Credit Sublimit</w:t>
      </w:r>
      <w:r>
        <w:rPr>
          <w:rFonts w:ascii="Arial" w:cs="Arial" w:eastAsia="Arial" w:hAnsi="Arial"/>
          <w:sz w:val="21"/>
          <w:szCs w:val="21"/>
          <w:color w:val="auto"/>
        </w:rPr>
        <w:t xml:space="preserve"> shall have the meaning specified in Section 2.8.1 [Issuance of Letters of Credit].</w:t>
      </w: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Leverage Ratio</w:t>
      </w:r>
      <w:r>
        <w:rPr>
          <w:rFonts w:ascii="Arial" w:cs="Arial" w:eastAsia="Arial" w:hAnsi="Arial"/>
          <w:sz w:val="22"/>
          <w:szCs w:val="22"/>
          <w:color w:val="auto"/>
        </w:rPr>
        <w:t xml:space="preserve"> shall mean, as of the end of any date of determination, the ratio of (A) Consolidated Total Net Indebtedness to (B) Consolidated EBITDA (i) for the four fiscal quarters then ending if such date is a fiscal quarter end or (ii) for the four fiscal quarters most recently ended if such date is not a fiscal quarter end.</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u w:val="single" w:color="auto"/>
          <w:color w:val="auto"/>
        </w:rPr>
        <w:t>Lien</w:t>
      </w:r>
      <w:r>
        <w:rPr>
          <w:rFonts w:ascii="Arial" w:cs="Arial" w:eastAsia="Arial" w:hAnsi="Arial"/>
          <w:sz w:val="21"/>
          <w:szCs w:val="21"/>
          <w:color w:val="auto"/>
        </w:rPr>
        <w:t xml:space="preserve"> shall mean any mortgage, deed of trust, pledge, lien, adverse claim or right or deemed trust (statutory or otherwise),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7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u w:val="single" w:color="auto"/>
          <w:color w:val="auto"/>
        </w:rPr>
        <w:t>Liquidity</w:t>
      </w:r>
      <w:r>
        <w:rPr>
          <w:rFonts w:ascii="Arial" w:cs="Arial" w:eastAsia="Arial" w:hAnsi="Arial"/>
          <w:sz w:val="21"/>
          <w:szCs w:val="21"/>
          <w:color w:val="auto"/>
        </w:rPr>
        <w:t xml:space="preserve"> shall mean, on any date of determination, the sum of unrestricted cash (including cash maintained with a Lender but excluding cash held in a foreign account) of any Loan Party and Undrawn Availability on such date.</w:t>
      </w:r>
    </w:p>
    <w:p>
      <w:pPr>
        <w:spacing w:after="0" w:line="1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shall mean this Agreement, the Administrative Agent's Letter, any Guaranty Agreement, the Notes, the Collateral Documents, the Intercompany Subordination Agreement, any Borrower Joinder, any Cash Management Agreements, any documents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420"/>
          </w:cols>
          <w:pgMar w:left="240" w:top="1428" w:right="2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22"/>
          <w:szCs w:val="22"/>
          <w:color w:val="auto"/>
        </w:rPr>
        <w:t>into with respect to a Letter of Credit and any other instruments, certificates or documents delivered in connection herewith or therewith.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Loan Parties</w:t>
      </w:r>
      <w:r>
        <w:rPr>
          <w:rFonts w:ascii="Arial" w:cs="Arial" w:eastAsia="Arial" w:hAnsi="Arial"/>
          <w:sz w:val="22"/>
          <w:szCs w:val="22"/>
          <w:color w:val="auto"/>
        </w:rPr>
        <w:t xml:space="preserve"> shall mean the Borrowers and the Guarantors.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Loan Request</w:t>
      </w:r>
      <w:r>
        <w:rPr>
          <w:rFonts w:ascii="Arial" w:cs="Arial" w:eastAsia="Arial" w:hAnsi="Arial"/>
          <w:sz w:val="21"/>
          <w:szCs w:val="21"/>
          <w:color w:val="auto"/>
        </w:rPr>
        <w:t xml:space="preserve"> shall have the meaning specified in Section 2.4 [Revolving Credit Loan Requests; Swing Loan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Requests].</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u w:val="single" w:color="auto"/>
          <w:color w:val="auto"/>
        </w:rPr>
        <w:t>Loans</w:t>
      </w:r>
      <w:r>
        <w:rPr>
          <w:rFonts w:ascii="Arial" w:cs="Arial" w:eastAsia="Arial" w:hAnsi="Arial"/>
          <w:sz w:val="21"/>
          <w:szCs w:val="21"/>
          <w:color w:val="auto"/>
        </w:rPr>
        <w:t xml:space="preserve"> shall mean collectively and </w:t>
      </w:r>
      <w:r>
        <w:rPr>
          <w:rFonts w:ascii="Arial" w:cs="Arial" w:eastAsia="Arial" w:hAnsi="Arial"/>
          <w:sz w:val="21"/>
          <w:szCs w:val="21"/>
          <w:u w:val="single" w:color="auto"/>
          <w:color w:val="auto"/>
        </w:rPr>
        <w:t>Loan</w:t>
      </w:r>
      <w:r>
        <w:rPr>
          <w:rFonts w:ascii="Arial" w:cs="Arial" w:eastAsia="Arial" w:hAnsi="Arial"/>
          <w:sz w:val="21"/>
          <w:szCs w:val="21"/>
          <w:color w:val="auto"/>
        </w:rPr>
        <w:t xml:space="preserve"> shall mean separately all Revolving Credit Loans, Swing Loans, Term Loans and the Optional Currency Loans or any Revolving Credit Loan, Swing Loan, Term Loan or Optional Currency Loan. Letters of Credit shall not be considered Loans hereunder unless drawings under such Letters of Credit are deemed to be a Revolving Credit Loan pursuant to Section 2.8.3 [Disbursements, Reimbursement] or a Letter of Credit Borrowing pursuant to Section 2.8.3.3, in which case such Letters of Credit shall be a Loan hereunder.</w:t>
      </w:r>
    </w:p>
    <w:p>
      <w:pPr>
        <w:spacing w:after="0" w:line="17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u w:val="single" w:color="auto"/>
          <w:color w:val="auto"/>
        </w:rPr>
        <w:t>Material Adverse Change</w:t>
      </w:r>
      <w:r>
        <w:rPr>
          <w:rFonts w:ascii="Arial" w:cs="Arial" w:eastAsia="Arial" w:hAnsi="Arial"/>
          <w:sz w:val="19"/>
          <w:szCs w:val="19"/>
          <w:color w:val="auto"/>
        </w:rPr>
        <w:t xml:space="preserve"> shall mean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or results of operations of the Loan Parties taken as a whole, (c) impairs materially or could reasonably be expected to impair materially the ability of the Loan Parties taken as a whole to duly and punctually pay or perform any of the Obligations, or</w:t>
      </w:r>
    </w:p>
    <w:p>
      <w:pPr>
        <w:spacing w:after="0" w:line="4" w:lineRule="exact"/>
        <w:rPr>
          <w:sz w:val="20"/>
          <w:szCs w:val="20"/>
          <w:color w:val="auto"/>
        </w:rPr>
      </w:pPr>
    </w:p>
    <w:p>
      <w:pPr>
        <w:ind w:firstLine="8"/>
        <w:spacing w:after="0" w:line="323" w:lineRule="auto"/>
        <w:tabs>
          <w:tab w:leader="none" w:pos="324" w:val="left"/>
        </w:tabs>
        <w:numPr>
          <w:ilvl w:val="0"/>
          <w:numId w:val="12"/>
        </w:numPr>
        <w:rPr>
          <w:rFonts w:ascii="Arial" w:cs="Arial" w:eastAsia="Arial" w:hAnsi="Arial"/>
          <w:sz w:val="19"/>
          <w:szCs w:val="19"/>
          <w:color w:val="auto"/>
        </w:rPr>
      </w:pPr>
      <w:r>
        <w:rPr>
          <w:rFonts w:ascii="Arial" w:cs="Arial" w:eastAsia="Arial" w:hAnsi="Arial"/>
          <w:sz w:val="19"/>
          <w:szCs w:val="19"/>
          <w:color w:val="auto"/>
        </w:rPr>
        <w:t>impairs materially or could reasonably be expected to impair materially the ability of the Administrative Agent or any of the Lenders, to the extent permitted, to enforce their legal remedies pursuant to this Agreement or any other Loan Document.</w:t>
      </w:r>
    </w:p>
    <w:p>
      <w:pPr>
        <w:spacing w:after="0" w:line="12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u w:val="single" w:color="auto"/>
          <w:color w:val="auto"/>
        </w:rPr>
        <w:t>Material Subsidiary</w:t>
      </w:r>
      <w:r>
        <w:rPr>
          <w:rFonts w:ascii="Arial" w:cs="Arial" w:eastAsia="Arial" w:hAnsi="Arial"/>
          <w:sz w:val="21"/>
          <w:szCs w:val="21"/>
          <w:color w:val="auto"/>
        </w:rPr>
        <w:t xml:space="preserve"> shall mean any (A) Domestic Subsidiary of the Company and (B) any Foreign Subsidiary of the Company which is incorporated, registered, amalgamated or otherwise formed under the laws of Canada or the United Kingdom, which in either case of clause (A) or (B), as of the most recent fiscal quarter of the Company, for the period of four (4) consecutive fiscal quarters then ended, for which financial statements have been delivered pursuant to Section 8.3.2 [Annual Financial Statements] or Section 8.3.1 [Quarterly Financial Statements] (or, if prior to the date of the delivery of the first financial statements to be delivered pursuant to Section 8.3.2 [Annual Financial Statements] or Section 8.3.1 [Quarterly Financial Statements], the most recent financial statements referred to in Section 6.1.6(i) [Historical Statements]), either (a) contributed greater than five percent (5%) of Consolidated EBITDA for such period or (b) contributed greater than five percent (5%) of Consolidated Total Assets as of such date.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shall mean, with respect to the Term Loans, April 30, 2024.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xml:space="preserve"> shall mean Moody's Investors Service, Inc. and its successors.</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Month</w:t>
      </w:r>
      <w:r>
        <w:rPr>
          <w:rFonts w:ascii="Arial" w:cs="Arial" w:eastAsia="Arial" w:hAnsi="Arial"/>
          <w:sz w:val="22"/>
          <w:szCs w:val="22"/>
          <w:color w:val="auto"/>
        </w:rPr>
        <w:t>, with respect to an Interest Period under the Euro-Rate Option, shall mean the interval between the days in consecutive calendar months numerically corresponding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420"/>
          </w:cols>
          <w:pgMar w:left="240" w:top="1428" w:right="2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22"/>
          <w:szCs w:val="22"/>
          <w:color w:val="auto"/>
        </w:rPr>
        <w:t>first day of such Interest Period. If any Euro-Rate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8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Multiemployer Plan</w:t>
      </w:r>
      <w:r>
        <w:rPr>
          <w:rFonts w:ascii="Arial" w:cs="Arial" w:eastAsia="Arial" w:hAnsi="Arial"/>
          <w:sz w:val="19"/>
          <w:szCs w:val="19"/>
          <w:color w:val="auto"/>
        </w:rPr>
        <w:t xml:space="preserve"> shall mean any employee benefit plan which is a "multiemployer plan" within the meaning of Section 4001(a)(3) of ERISA and to which the Borrowers or any member of the ERISA Group is then making or accruing an obligation to make contributions or, within the preceding five Plan years, has made or had an obligation to make such contributions.</w:t>
      </w:r>
    </w:p>
    <w:p>
      <w:pPr>
        <w:spacing w:after="0" w:line="13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u w:val="single" w:color="auto"/>
          <w:color w:val="auto"/>
        </w:rPr>
        <w:t>Net Cash Proceeds</w:t>
      </w:r>
      <w:r>
        <w:rPr>
          <w:rFonts w:ascii="Arial" w:cs="Arial" w:eastAsia="Arial" w:hAnsi="Arial"/>
          <w:sz w:val="21"/>
          <w:szCs w:val="21"/>
          <w:color w:val="auto"/>
        </w:rPr>
        <w:t xml:space="preserve"> shall mean (a) in connection with any asset sale or any Recovery Event, the proceeds thereof in the form of cash and cash equivalents (including any such proceeds actually received from deferred payments of principal pursuant to a note, a receivable or otherwise), net of attorneys’ fees, accountants’ fees, investment banking fees, amounts required to be reserved for indemnification, adjustment of purchase price or similar obligations pursuant to the agreements governing such asset sale, amounts required to be applied to the repayment of Indebtedness secured by a Lien expressly permitted hereunder on any asset that is the subject of such asset sale or Recovery Event (other than any Lien pursuant to a Collateral Document) and other customary fees and expenses actually incurred in connection therewith and net of taxes paid (after taking into account any available tax credits or deductions and any tax sharing arrangements) and (b) in connection with any equity issuance or sale or any incurrence of Indebtedness, the cash proceeds received from such issuance or incurrence, net of attorneys’ fees, investment banking fees, accountants’ fees, underwriting discounts and commissions and other customary fees and expenses actually incurred in connection therewith and net of taxes paid (after taking into account any available tax credits or deductions and any tax sharing arrangements).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New Lender</w:t>
      </w:r>
      <w:r>
        <w:rPr>
          <w:rFonts w:ascii="Arial" w:cs="Arial" w:eastAsia="Arial" w:hAnsi="Arial"/>
          <w:sz w:val="19"/>
          <w:szCs w:val="19"/>
          <w:color w:val="auto"/>
        </w:rPr>
        <w:t xml:space="preserve"> shall have the meaning assigned to such term in Section 12.16 [Increase in Commitments] hereof.</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shall have the meaning specified in Section 12.1 [Modifications, Amendments or Waivers].</w:t>
      </w:r>
    </w:p>
    <w:p>
      <w:pPr>
        <w:spacing w:after="0" w:line="25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Non-Material Foreign Subsidiary</w:t>
      </w:r>
      <w:r>
        <w:rPr>
          <w:rFonts w:ascii="Arial" w:cs="Arial" w:eastAsia="Arial" w:hAnsi="Arial"/>
          <w:sz w:val="22"/>
          <w:szCs w:val="22"/>
          <w:color w:val="auto"/>
        </w:rPr>
        <w:t xml:space="preserve"> shall mean a Foreign Subsidiary of a Loan Party which does not qualify as a Material Subsidiary.</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Non-Qualifying Party</w:t>
      </w:r>
      <w:r>
        <w:rPr>
          <w:rFonts w:ascii="Arial" w:cs="Arial" w:eastAsia="Arial" w:hAnsi="Arial"/>
          <w:sz w:val="22"/>
          <w:szCs w:val="22"/>
          <w:color w:val="auto"/>
        </w:rPr>
        <w:t xml:space="preserve"> shall mean any Loan Party that fails for any reason to qualify as an Eligible Contract Participant on the Effective Date of the applicable Swap.</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xml:space="preserve"> shall mean, collectively, the promissory notes in substantially the form of Exhibit 1.1(N)(1) evidencing the Revolving Credit Loans, in substantially the form of Exhibit 1.1(N)(2) evidencing the Swing Loan, in substantially the form of Exhibit 1.1(N)(3) evidencing the Term Loans, and Note shall also include all other promissory notes accepted from time to time in connection with any Incremental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1420"/>
          </w:cols>
          <w:pgMar w:left="240" w:top="1428" w:right="239" w:bottom="1440" w:gutter="0" w:footer="0" w:header="0"/>
        </w:sectPr>
      </w:pPr>
    </w:p>
    <w:bookmarkStart w:id="38" w:name="page39"/>
    <w:bookmarkEnd w:id="38"/>
    <w:p>
      <w:pPr>
        <w:ind w:firstLine="1297"/>
        <w:spacing w:after="0" w:line="291" w:lineRule="auto"/>
        <w:rPr>
          <w:sz w:val="20"/>
          <w:szCs w:val="20"/>
          <w:color w:val="auto"/>
        </w:rPr>
      </w:pPr>
      <w:r>
        <w:rPr>
          <w:rFonts w:ascii="Arial" w:cs="Arial" w:eastAsia="Arial" w:hAnsi="Arial"/>
          <w:sz w:val="19"/>
          <w:szCs w:val="19"/>
          <w:u w:val="single" w:color="auto"/>
          <w:color w:val="auto"/>
        </w:rPr>
        <w:t>Obligation</w:t>
      </w:r>
      <w:r>
        <w:rPr>
          <w:rFonts w:ascii="Arial" w:cs="Arial" w:eastAsia="Arial" w:hAnsi="Arial"/>
          <w:sz w:val="19"/>
          <w:szCs w:val="19"/>
          <w:color w:val="auto"/>
        </w:rPr>
        <w:t xml:space="preserve"> shall mean any obligation or liability of any of the Loan Parties, howsoever created, arising or evidenced, whether direct or indirect, absolute or contingent, now or hereafter existing, or due or to become due, under or in connection with</w:t>
      </w:r>
    </w:p>
    <w:p>
      <w:pPr>
        <w:spacing w:after="0" w:line="1" w:lineRule="exact"/>
        <w:rPr>
          <w:sz w:val="20"/>
          <w:szCs w:val="20"/>
          <w:color w:val="auto"/>
        </w:rPr>
      </w:pPr>
    </w:p>
    <w:p>
      <w:pPr>
        <w:jc w:val="both"/>
        <w:ind w:firstLine="8"/>
        <w:spacing w:after="0" w:line="258" w:lineRule="auto"/>
        <w:tabs>
          <w:tab w:leader="none" w:pos="268"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this Agreement, the Notes, the Letters of Credit, the Administrative Agent's Letter or any other Loan Document whether to the Administrative Agent, any of the Lenders or their Affiliates or other persons provided for under such Loan Documents, (ii) any Lender Provided Interest Rate Hedge, (iii) any Lender Provided Foreign Currency Hedge, (iv) any Lender Provided Commodity Hedge and (v) any Other Lender Provided Financial Service Product. Notwithstanding anything to the contrary contained in the foregoing, the Obligations shall not include any Excluded Hedge Liabilities.</w:t>
      </w:r>
    </w:p>
    <w:p>
      <w:pPr>
        <w:spacing w:after="0" w:line="18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u w:val="single" w:color="auto"/>
          <w:color w:val="auto"/>
        </w:rPr>
        <w:t>Official Body</w:t>
      </w:r>
      <w:r>
        <w:rPr>
          <w:rFonts w:ascii="Arial" w:cs="Arial" w:eastAsia="Arial" w:hAnsi="Arial"/>
          <w:sz w:val="22"/>
          <w:szCs w:val="22"/>
          <w:color w:val="auto"/>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Optional Currency</w:t>
      </w:r>
      <w:r>
        <w:rPr>
          <w:rFonts w:ascii="Arial" w:cs="Arial" w:eastAsia="Arial" w:hAnsi="Arial"/>
          <w:sz w:val="22"/>
          <w:szCs w:val="22"/>
          <w:color w:val="auto"/>
        </w:rPr>
        <w:t xml:space="preserve"> shall mean the following lawful currencies: Canadian Dollars, British Pounds Sterling, the Euro, Australian Dollars, Mexican Peso and, solely with respect to Letters of Credit issued hereunder, Chinese Renminbi and Brazilian Real, and any other currency approved by Administrative Agent and all of the Lenders pursuant to Section 2.9.5 [Requests for Additional Optional Currencies]. Subject to Section 2.9.4 [European Monetary Union], each Optional Currency must be the lawful currency of the specified country.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Optional Currency Loans</w:t>
      </w:r>
      <w:r>
        <w:rPr>
          <w:rFonts w:ascii="Arial" w:cs="Arial" w:eastAsia="Arial" w:hAnsi="Arial"/>
          <w:sz w:val="19"/>
          <w:szCs w:val="19"/>
          <w:color w:val="auto"/>
        </w:rPr>
        <w:t xml:space="preserve"> shall mean have the meaning ascribed to such term in Section 2.1.3 [Optional Currency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Sublimit].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Optional Currency Loan Sublimit</w:t>
      </w:r>
      <w:r>
        <w:rPr>
          <w:rFonts w:ascii="Arial" w:cs="Arial" w:eastAsia="Arial" w:hAnsi="Arial"/>
          <w:sz w:val="19"/>
          <w:szCs w:val="19"/>
          <w:color w:val="auto"/>
        </w:rPr>
        <w:t xml:space="preserve"> shall have the meaning ascribed to such term in Section 2.1.3 [Optional Currency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Sublimit].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Order</w:t>
      </w:r>
      <w:r>
        <w:rPr>
          <w:rFonts w:ascii="Arial" w:cs="Arial" w:eastAsia="Arial" w:hAnsi="Arial"/>
          <w:sz w:val="22"/>
          <w:szCs w:val="22"/>
          <w:color w:val="auto"/>
        </w:rPr>
        <w:t xml:space="preserve"> shall have the meaning specified in Section 2.8.9 [Liability for Acts and Omissions].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Original Currency</w:t>
      </w:r>
      <w:r>
        <w:rPr>
          <w:rFonts w:ascii="Arial" w:cs="Arial" w:eastAsia="Arial" w:hAnsi="Arial"/>
          <w:sz w:val="21"/>
          <w:szCs w:val="21"/>
          <w:color w:val="auto"/>
        </w:rPr>
        <w:t xml:space="preserve"> shall have the meaning specified in Section 5.12 [Currency Conversion Procedures for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Judgments].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Other Currency</w:t>
      </w:r>
      <w:r>
        <w:rPr>
          <w:rFonts w:ascii="Arial" w:cs="Arial" w:eastAsia="Arial" w:hAnsi="Arial"/>
          <w:sz w:val="19"/>
          <w:szCs w:val="19"/>
          <w:color w:val="auto"/>
        </w:rPr>
        <w:t xml:space="preserve"> shall have the meaning specified in Section 5.12 [Currency Conversion Procedures for Judgments].</w:t>
      </w:r>
    </w:p>
    <w:p>
      <w:pPr>
        <w:spacing w:after="0" w:line="25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Other Connection Taxes</w:t>
      </w:r>
      <w:r>
        <w:rPr>
          <w:rFonts w:ascii="Arial" w:cs="Arial" w:eastAsia="Arial" w:hAnsi="Arial"/>
          <w:sz w:val="22"/>
          <w:szCs w:val="22"/>
          <w:color w:val="auto"/>
        </w:rPr>
        <w:t xml:space="preserve"> shall mean, with respect to any Recipient, Taxes imposed as a result of a present or former connection between such Recipient (or an agent or affiliate thereof) and the jurisdiction imposing such Tax (other than connections arising solely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420"/>
          </w:cols>
          <w:pgMar w:left="240" w:top="1428" w:right="2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22"/>
          <w:szCs w:val="22"/>
          <w:color w:val="auto"/>
        </w:rPr>
        <w:t>Recipient having executed, delivered, become a party to, performed its obligations under, received payments under, received or perfected or enforced a security interest under, engaged in any other transaction pursuant to or enforced any Loan Document, or sold or assigned an interest in any Loan or Loan Document).</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Other Lender Provided Financial Service Product</w:t>
      </w:r>
      <w:r>
        <w:rPr>
          <w:rFonts w:ascii="Arial" w:cs="Arial" w:eastAsia="Arial" w:hAnsi="Arial"/>
          <w:sz w:val="22"/>
          <w:szCs w:val="22"/>
          <w:color w:val="auto"/>
        </w:rPr>
        <w:t xml:space="preserve"> shall mean agreements or other arrangements under which any Lender or Affiliate of a Lender provides, or arranges for the provision of pursuant to any guarantee, indemnity or other credit enhancement, any of the following products or services to any of the Loan Parties: (a) credit cards, (b) credit card processing services, (c) debit cards, (d) purchase cards, (e) ACH transactions, (f) cash management, including controlled disbursement, accounts or services, or (g) foreign currency exchange.</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all present or future stamp, court or documentary, intangible, recording, filing or similar Taxes that arise (i) from any payment made under, (ii) from the execution, delivery, performance, enforcement or registration of,</w:t>
      </w:r>
    </w:p>
    <w:p>
      <w:pPr>
        <w:spacing w:after="0" w:line="1" w:lineRule="exact"/>
        <w:rPr>
          <w:sz w:val="20"/>
          <w:szCs w:val="20"/>
          <w:color w:val="auto"/>
        </w:rPr>
      </w:pPr>
    </w:p>
    <w:p>
      <w:pPr>
        <w:jc w:val="both"/>
        <w:ind w:firstLine="8"/>
        <w:spacing w:after="0" w:line="245" w:lineRule="auto"/>
        <w:tabs>
          <w:tab w:leader="none" w:pos="395" w:val="left"/>
        </w:tabs>
        <w:numPr>
          <w:ilvl w:val="0"/>
          <w:numId w:val="14"/>
        </w:numPr>
        <w:rPr>
          <w:rFonts w:ascii="Arial" w:cs="Arial" w:eastAsia="Arial" w:hAnsi="Arial"/>
          <w:sz w:val="22"/>
          <w:szCs w:val="22"/>
          <w:color w:val="auto"/>
        </w:rPr>
      </w:pPr>
      <w:r>
        <w:rPr>
          <w:rFonts w:ascii="Arial" w:cs="Arial" w:eastAsia="Arial" w:hAnsi="Arial"/>
          <w:sz w:val="22"/>
          <w:szCs w:val="22"/>
          <w:color w:val="auto"/>
        </w:rPr>
        <w:t>from the receipt or perfection of a security interest under, or (iv) otherwise with respect to, any Loan Document, except any such Taxes that are Other Connection Taxes imposed with respect to an assignment (other than an assignment made pursuant to Section 5.6.2 [Replacement of a Lender]).</w:t>
      </w:r>
    </w:p>
    <w:p>
      <w:pPr>
        <w:spacing w:after="0" w:line="19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(0.00), then such rate shall be deemed to be zero (0.00). The rate of interest charged shall be adjusted as of each Business Day based on changes in the Overnight Bank Funding Rate without notice to the Borrowers.</w:t>
      </w:r>
    </w:p>
    <w:p>
      <w:pPr>
        <w:spacing w:after="0" w:line="16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Overnight Rate</w:t>
      </w:r>
      <w:r>
        <w:rPr>
          <w:rFonts w:ascii="Arial" w:cs="Arial" w:eastAsia="Arial" w:hAnsi="Arial"/>
          <w:sz w:val="19"/>
          <w:szCs w:val="19"/>
          <w:color w:val="auto"/>
        </w:rPr>
        <w:t xml:space="preserve"> shall mean for any day with respect to any Loans in an Optional Currency, the rate of interest per annum as determined by the Administrative Agent at which overnight deposits in such currency, in an amount approximately equal to the amount with respect to which such rate is being determined, would be offered for such day in the Relevant Interbank Market.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Section 12.8.4 [Participations].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Section 12.8.4 [Participations].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420"/>
          </w:cols>
          <w:pgMar w:left="240" w:top="1428" w:right="239" w:bottom="1440" w:gutter="0" w:footer="0" w:header="0"/>
        </w:sectPr>
      </w:pPr>
    </w:p>
    <w:bookmarkStart w:id="40" w:name="page41"/>
    <w:bookmarkEnd w:id="40"/>
    <w:p>
      <w:pPr>
        <w:jc w:val="both"/>
        <w:ind w:firstLine="1297"/>
        <w:spacing w:after="0" w:line="253" w:lineRule="auto"/>
        <w:rPr>
          <w:sz w:val="20"/>
          <w:szCs w:val="20"/>
          <w:color w:val="auto"/>
        </w:rPr>
      </w:pP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xml:space="preserve"> shall mean any member State of the European Communities that adopts or has adopted the euro as its lawful currency in accordance with legislation of the European Community relating to Economic and Monetary Union.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Participation Advance</w:t>
      </w:r>
      <w:r>
        <w:rPr>
          <w:rFonts w:ascii="Arial" w:cs="Arial" w:eastAsia="Arial" w:hAnsi="Arial"/>
          <w:sz w:val="21"/>
          <w:szCs w:val="21"/>
          <w:color w:val="auto"/>
        </w:rPr>
        <w:t xml:space="preserve"> shall have the meaning specified in Section 2.8.3 [Disbursements, Reimbursement].</w:t>
      </w:r>
    </w:p>
    <w:p>
      <w:pPr>
        <w:spacing w:after="0" w:line="231"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u w:val="single" w:color="auto"/>
          <w:color w:val="auto"/>
        </w:rPr>
        <w:t>Payment Date</w:t>
      </w:r>
      <w:r>
        <w:rPr>
          <w:rFonts w:ascii="Arial" w:cs="Arial" w:eastAsia="Arial" w:hAnsi="Arial"/>
          <w:sz w:val="19"/>
          <w:szCs w:val="19"/>
          <w:color w:val="auto"/>
        </w:rPr>
        <w:t xml:space="preserve"> shall mean the first Business Day of each calendar quarter after the date hereof and on the Expiration Date (in the case of Revolving Credit Loans), the Maturity Date (in the case of Term Loans) or upon acceleration of the Notes.</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Payment In Full</w:t>
      </w:r>
      <w:r>
        <w:rPr>
          <w:rFonts w:ascii="Arial" w:cs="Arial" w:eastAsia="Arial" w:hAnsi="Arial"/>
          <w:sz w:val="22"/>
          <w:szCs w:val="22"/>
          <w:color w:val="auto"/>
        </w:rPr>
        <w:t xml:space="preserve"> shall mean the indefeasible payment in full in cash of the Loans and other Obligations hereunder, termination of the Commitments and expiration or termination of all Letters of Credit.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PBGC</w:t>
      </w:r>
      <w:r>
        <w:rPr>
          <w:rFonts w:ascii="Arial" w:cs="Arial" w:eastAsia="Arial" w:hAnsi="Arial"/>
          <w:sz w:val="22"/>
          <w:szCs w:val="22"/>
          <w:color w:val="auto"/>
        </w:rPr>
        <w:t xml:space="preserve"> shall mean the Pension Benefit Guaranty Corporation established pursuant to Subtitle A of Title IV of ERISA or any successor.</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Pension Plan</w:t>
      </w:r>
      <w:r>
        <w:rPr>
          <w:rFonts w:ascii="Arial" w:cs="Arial" w:eastAsia="Arial" w:hAnsi="Arial"/>
          <w:sz w:val="22"/>
          <w:szCs w:val="22"/>
          <w:color w:val="auto"/>
        </w:rPr>
        <w:t xml:space="preserve"> shall mean any "employee pension benefit plan" (as such term is defined in Section 3(2) of ERISA), other than a Multiemployer Plan, that is subject to Title IV of ERISA and is sponsored or maintained by any Borrower or any ERISA Affiliate or to which any Borrower or any ERISA Affiliate contributes or has an obligation to contribute, or in the case of a multiple employer or other plan described in Section 4064(a) of ERISA, has made contributions at any times during the immediately preceding five plan years.</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Pensions Regulator</w:t>
      </w:r>
      <w:r>
        <w:rPr>
          <w:rFonts w:ascii="Arial" w:cs="Arial" w:eastAsia="Arial" w:hAnsi="Arial"/>
          <w:sz w:val="22"/>
          <w:szCs w:val="22"/>
          <w:color w:val="auto"/>
        </w:rPr>
        <w:t xml:space="preserve"> shall mean the body corporate called the Pension Regulator established under Part I of the Pensions Act 2004.</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shall have the meaning assigned to such term in Section 8.2.6 [</w:t>
      </w:r>
      <w:r>
        <w:rPr>
          <w:rFonts w:ascii="Arial" w:cs="Arial" w:eastAsia="Arial" w:hAnsi="Arial"/>
          <w:sz w:val="22"/>
          <w:szCs w:val="22"/>
          <w:u w:val="single" w:color="auto"/>
          <w:color w:val="auto"/>
        </w:rPr>
        <w:t>Liquidations, Mergers,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Consolidations, and Acquisitions</w:t>
      </w:r>
      <w:r>
        <w:rPr>
          <w:rFonts w:ascii="Arial" w:cs="Arial" w:eastAsia="Arial" w:hAnsi="Arial"/>
          <w:sz w:val="22"/>
          <w:szCs w:val="22"/>
          <w:color w:val="auto"/>
        </w:rPr>
        <w:t>] 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Permitted Investments</w:t>
      </w:r>
      <w:r>
        <w:rPr>
          <w:rFonts w:ascii="Arial" w:cs="Arial" w:eastAsia="Arial" w:hAnsi="Arial"/>
          <w:sz w:val="22"/>
          <w:szCs w:val="22"/>
          <w:color w:val="auto"/>
        </w:rPr>
        <w:t xml:space="preserve"> shall mean:</w:t>
      </w:r>
    </w:p>
    <w:p>
      <w:pPr>
        <w:spacing w:after="0" w:line="220" w:lineRule="exact"/>
        <w:rPr>
          <w:sz w:val="20"/>
          <w:szCs w:val="20"/>
          <w:color w:val="auto"/>
        </w:rPr>
      </w:pPr>
    </w:p>
    <w:p>
      <w:pPr>
        <w:ind w:firstLine="1305"/>
        <w:spacing w:after="0" w:line="343" w:lineRule="auto"/>
        <w:tabs>
          <w:tab w:leader="none" w:pos="1554" w:val="left"/>
        </w:tabs>
        <w:numPr>
          <w:ilvl w:val="0"/>
          <w:numId w:val="15"/>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or any agency or instrumentality thereof or obligations backed by the full faith and credit of the United States of America maturing in twelve (12) months or less from the date of acquisition;</w:t>
      </w:r>
    </w:p>
    <w:p>
      <w:pPr>
        <w:spacing w:after="0" w:line="104" w:lineRule="exact"/>
        <w:rPr>
          <w:rFonts w:ascii="Arial" w:cs="Arial" w:eastAsia="Arial" w:hAnsi="Arial"/>
          <w:sz w:val="19"/>
          <w:szCs w:val="19"/>
          <w:color w:val="auto"/>
        </w:rPr>
      </w:pPr>
    </w:p>
    <w:p>
      <w:pPr>
        <w:ind w:firstLine="1305"/>
        <w:spacing w:after="0" w:line="263" w:lineRule="auto"/>
        <w:tabs>
          <w:tab w:leader="none" w:pos="1615"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commercial paper maturing in 180 days or less rated not lower than A-1, by Standard &amp; Poor's or similar rating by a nationally recognized rating agency on the date of acquisition;</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701" w:val="left"/>
        </w:tabs>
        <w:numPr>
          <w:ilvl w:val="0"/>
          <w:numId w:val="15"/>
        </w:numPr>
        <w:rPr>
          <w:rFonts w:ascii="Arial" w:cs="Arial" w:eastAsia="Arial" w:hAnsi="Arial"/>
          <w:sz w:val="22"/>
          <w:szCs w:val="22"/>
          <w:color w:val="auto"/>
        </w:rPr>
      </w:pPr>
      <w:r>
        <w:rPr>
          <w:rFonts w:ascii="Arial" w:cs="Arial" w:eastAsia="Arial" w:hAnsi="Arial"/>
          <w:sz w:val="22"/>
          <w:szCs w:val="22"/>
          <w:color w:val="auto"/>
        </w:rPr>
        <w:t>demand deposits, time deposits, banker's acceptances or certificates of deposit maturing within one year in commercial banks whose obligations are rated A-1, A or the equivalent or better by Standard &amp; Poor's or similar rating by a nationally recognized rating agency on the date of acquisition;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600" w:hanging="120"/>
        <w:spacing w:after="0"/>
        <w:tabs>
          <w:tab w:leader="none" w:pos="56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27 -</w:t>
      </w:r>
    </w:p>
    <w:p>
      <w:pPr>
        <w:sectPr>
          <w:pgSz w:w="11900" w:h="16838" w:orient="portrait"/>
          <w:cols w:equalWidth="0" w:num="1">
            <w:col w:w="11420"/>
          </w:cols>
          <w:pgMar w:left="240" w:top="1428" w:right="239" w:bottom="1440" w:gutter="0" w:footer="0" w:header="0"/>
        </w:sectPr>
      </w:pPr>
    </w:p>
    <w:bookmarkStart w:id="41" w:name="page42"/>
    <w:bookmarkEnd w:id="41"/>
    <w:p>
      <w:pPr>
        <w:ind w:firstLine="1305"/>
        <w:spacing w:after="0" w:line="263" w:lineRule="auto"/>
        <w:tabs>
          <w:tab w:leader="none" w:pos="1662" w:val="left"/>
        </w:tabs>
        <w:numPr>
          <w:ilvl w:val="1"/>
          <w:numId w:val="16"/>
        </w:numPr>
        <w:rPr>
          <w:rFonts w:ascii="Arial" w:cs="Arial" w:eastAsia="Arial" w:hAnsi="Arial"/>
          <w:sz w:val="22"/>
          <w:szCs w:val="22"/>
          <w:color w:val="auto"/>
        </w:rPr>
      </w:pPr>
      <w:r>
        <w:rPr>
          <w:rFonts w:ascii="Arial" w:cs="Arial" w:eastAsia="Arial" w:hAnsi="Arial"/>
          <w:sz w:val="22"/>
          <w:szCs w:val="22"/>
          <w:color w:val="auto"/>
        </w:rPr>
        <w:t>money market or mutual funds which are rated not lower than AAA by Standard &amp; Poor's or similar rating by a nationally recognized rating agency;</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643" w:val="left"/>
        </w:tabs>
        <w:numPr>
          <w:ilvl w:val="1"/>
          <w:numId w:val="16"/>
        </w:numPr>
        <w:rPr>
          <w:rFonts w:ascii="Arial" w:cs="Arial" w:eastAsia="Arial" w:hAnsi="Arial"/>
          <w:sz w:val="22"/>
          <w:szCs w:val="22"/>
          <w:color w:val="auto"/>
        </w:rPr>
      </w:pPr>
      <w:r>
        <w:rPr>
          <w:rFonts w:ascii="Arial" w:cs="Arial" w:eastAsia="Arial" w:hAnsi="Arial"/>
          <w:sz w:val="22"/>
          <w:szCs w:val="22"/>
          <w:color w:val="auto"/>
        </w:rPr>
        <w:t>corporate debt obligations issued by a domestic corporation or a domestic bank holding company whose obligations are rated A-1, A or the equivalent or better by Standard &amp; Poor's or similar rating by a nationally recognized rating agency on the date of acquisition;</w:t>
      </w:r>
    </w:p>
    <w:p>
      <w:pPr>
        <w:spacing w:after="0" w:line="185" w:lineRule="exact"/>
        <w:rPr>
          <w:rFonts w:ascii="Arial" w:cs="Arial" w:eastAsia="Arial" w:hAnsi="Arial"/>
          <w:sz w:val="22"/>
          <w:szCs w:val="22"/>
          <w:color w:val="auto"/>
        </w:rPr>
      </w:pPr>
    </w:p>
    <w:p>
      <w:pPr>
        <w:ind w:firstLine="1305"/>
        <w:spacing w:after="0" w:line="287" w:lineRule="auto"/>
        <w:tabs>
          <w:tab w:leader="none" w:pos="1676" w:val="left"/>
        </w:tabs>
        <w:numPr>
          <w:ilvl w:val="1"/>
          <w:numId w:val="16"/>
        </w:numPr>
        <w:rPr>
          <w:rFonts w:ascii="Arial" w:cs="Arial" w:eastAsia="Arial" w:hAnsi="Arial"/>
          <w:sz w:val="21"/>
          <w:szCs w:val="21"/>
          <w:color w:val="auto"/>
        </w:rPr>
      </w:pPr>
      <w:r>
        <w:rPr>
          <w:rFonts w:ascii="Arial" w:cs="Arial" w:eastAsia="Arial" w:hAnsi="Arial"/>
          <w:sz w:val="21"/>
          <w:szCs w:val="21"/>
          <w:color w:val="auto"/>
        </w:rPr>
        <w:t>municipal bonds and notes issued by cities, states, or other municipal entities which are rated not lower than AAA by Standard &amp; Poor's or similar rating by a nationally recognized rating agency on the date of acquisition; and</w:t>
      </w:r>
    </w:p>
    <w:p>
      <w:pPr>
        <w:spacing w:after="0" w:line="151" w:lineRule="exact"/>
        <w:rPr>
          <w:rFonts w:ascii="Arial" w:cs="Arial" w:eastAsia="Arial" w:hAnsi="Arial"/>
          <w:sz w:val="21"/>
          <w:szCs w:val="21"/>
          <w:color w:val="auto"/>
        </w:rPr>
      </w:pPr>
    </w:p>
    <w:p>
      <w:pPr>
        <w:ind w:left="1740" w:hanging="435"/>
        <w:spacing w:after="0"/>
        <w:tabs>
          <w:tab w:leader="none" w:pos="1740"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investments made under the Cash Management Agreements or under cash management agreements with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Lenders.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shall mean:</w:t>
      </w:r>
    </w:p>
    <w:p>
      <w:pPr>
        <w:spacing w:after="0" w:line="220" w:lineRule="exact"/>
        <w:rPr>
          <w:sz w:val="20"/>
          <w:szCs w:val="20"/>
          <w:color w:val="auto"/>
        </w:rPr>
      </w:pPr>
    </w:p>
    <w:p>
      <w:pPr>
        <w:jc w:val="both"/>
        <w:ind w:firstLine="1305"/>
        <w:spacing w:after="0" w:line="343" w:lineRule="auto"/>
        <w:tabs>
          <w:tab w:leader="none" w:pos="1554" w:val="left"/>
        </w:tabs>
        <w:numPr>
          <w:ilvl w:val="0"/>
          <w:numId w:val="17"/>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not delinquent or being contested in good faith and by appropriate proceedings and with respect to which proper reserves in accordance with GAAP have been taken by the Borrowers;</w:t>
      </w:r>
    </w:p>
    <w:p>
      <w:pPr>
        <w:spacing w:after="0" w:line="104" w:lineRule="exact"/>
        <w:rPr>
          <w:rFonts w:ascii="Arial" w:cs="Arial" w:eastAsia="Arial" w:hAnsi="Arial"/>
          <w:sz w:val="19"/>
          <w:szCs w:val="19"/>
          <w:color w:val="auto"/>
        </w:rPr>
      </w:pPr>
    </w:p>
    <w:p>
      <w:pPr>
        <w:jc w:val="both"/>
        <w:ind w:firstLine="1305"/>
        <w:spacing w:after="0" w:line="253"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22"/>
          <w:szCs w:val="22"/>
          <w:color w:val="auto"/>
        </w:rPr>
        <w:t>Pledges or deposits made in the ordinary course of business to secure payment of workmen's compensation, or to participate in any fund in connection with workmen's compensation, unemployment insurance, old-age pensions or other social security programs;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674" w:val="left"/>
        </w:tabs>
        <w:numPr>
          <w:ilvl w:val="0"/>
          <w:numId w:val="17"/>
        </w:numPr>
        <w:rPr>
          <w:rFonts w:ascii="Arial" w:cs="Arial" w:eastAsia="Arial" w:hAnsi="Arial"/>
          <w:sz w:val="22"/>
          <w:szCs w:val="22"/>
          <w:color w:val="auto"/>
        </w:rPr>
      </w:pPr>
      <w:r>
        <w:rPr>
          <w:rFonts w:ascii="Arial" w:cs="Arial" w:eastAsia="Arial" w:hAnsi="Arial"/>
          <w:sz w:val="22"/>
          <w:szCs w:val="22"/>
          <w:color w:val="auto"/>
        </w:rPr>
        <w:t>Liens of mechanics, materialmen, warehousemen, carriers, or other like Liens, securing obligations incurred in the ordinary course of business that are not yet due and payable and statutory and common law Liens of landlords securing obligations to pay lease payments that are not yet due and payable or in default;</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662" w:val="left"/>
        </w:tabs>
        <w:numPr>
          <w:ilvl w:val="0"/>
          <w:numId w:val="17"/>
        </w:numPr>
        <w:rPr>
          <w:rFonts w:ascii="Arial" w:cs="Arial" w:eastAsia="Arial" w:hAnsi="Arial"/>
          <w:sz w:val="22"/>
          <w:szCs w:val="22"/>
          <w:color w:val="auto"/>
        </w:rPr>
      </w:pPr>
      <w:r>
        <w:rPr>
          <w:rFonts w:ascii="Arial" w:cs="Arial" w:eastAsia="Arial" w:hAnsi="Arial"/>
          <w:sz w:val="22"/>
          <w:szCs w:val="22"/>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603" w:val="left"/>
        </w:tabs>
        <w:numPr>
          <w:ilvl w:val="0"/>
          <w:numId w:val="17"/>
        </w:numPr>
        <w:rPr>
          <w:rFonts w:ascii="Arial" w:cs="Arial" w:eastAsia="Arial" w:hAnsi="Arial"/>
          <w:sz w:val="22"/>
          <w:szCs w:val="22"/>
          <w:color w:val="auto"/>
        </w:rPr>
      </w:pPr>
      <w:r>
        <w:rPr>
          <w:rFonts w:ascii="Arial" w:cs="Arial" w:eastAsia="Arial" w:hAnsi="Arial"/>
          <w:sz w:val="22"/>
          <w:szCs w:val="22"/>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185" w:lineRule="exact"/>
        <w:rPr>
          <w:rFonts w:ascii="Arial" w:cs="Arial" w:eastAsia="Arial" w:hAnsi="Arial"/>
          <w:sz w:val="22"/>
          <w:szCs w:val="22"/>
          <w:color w:val="auto"/>
        </w:rPr>
      </w:pPr>
    </w:p>
    <w:p>
      <w:pPr>
        <w:jc w:val="both"/>
        <w:ind w:firstLine="1305"/>
        <w:spacing w:after="0" w:line="271" w:lineRule="auto"/>
        <w:tabs>
          <w:tab w:leader="none" w:pos="1662" w:val="left"/>
        </w:tabs>
        <w:numPr>
          <w:ilvl w:val="0"/>
          <w:numId w:val="17"/>
        </w:numPr>
        <w:rPr>
          <w:rFonts w:ascii="Arial" w:cs="Arial" w:eastAsia="Arial" w:hAnsi="Arial"/>
          <w:sz w:val="21"/>
          <w:szCs w:val="21"/>
          <w:color w:val="auto"/>
        </w:rPr>
      </w:pPr>
      <w:r>
        <w:rPr>
          <w:rFonts w:ascii="Arial" w:cs="Arial" w:eastAsia="Arial" w:hAnsi="Arial"/>
          <w:sz w:val="21"/>
          <w:szCs w:val="21"/>
          <w:color w:val="auto"/>
        </w:rPr>
        <w:t>Liens, security interests and mortgages in favor of the Administrative Agent for the benefit of the Lenders and their Affiliates securing the Obligations (including Lender Provided Interest Rate Hedges, Lender Provided Foreign Currency Hedges, Lender Provided Commodity Hedges and Other Lender Provided Financial Services Obligations);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64" w:lineRule="exact"/>
        <w:rPr>
          <w:rFonts w:ascii="Arial" w:cs="Arial" w:eastAsia="Arial" w:hAnsi="Arial"/>
          <w:sz w:val="21"/>
          <w:szCs w:val="21"/>
          <w:color w:val="auto"/>
        </w:rPr>
      </w:pPr>
    </w:p>
    <w:p>
      <w:pPr>
        <w:ind w:left="5600" w:hanging="120"/>
        <w:spacing w:after="0"/>
        <w:tabs>
          <w:tab w:leader="none" w:pos="56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420"/>
          </w:cols>
          <w:pgMar w:left="240" w:top="1428" w:right="239" w:bottom="1440" w:gutter="0" w:footer="0" w:header="0"/>
        </w:sectPr>
      </w:pPr>
    </w:p>
    <w:bookmarkStart w:id="42" w:name="page43"/>
    <w:bookmarkEnd w:id="42"/>
    <w:p>
      <w:pPr>
        <w:ind w:firstLine="1305"/>
        <w:spacing w:after="0" w:line="287" w:lineRule="auto"/>
        <w:tabs>
          <w:tab w:leader="none" w:pos="1723"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Any Lien existing on the date of this Agreement and described on </w:t>
      </w:r>
      <w:r>
        <w:rPr>
          <w:rFonts w:ascii="Arial" w:cs="Arial" w:eastAsia="Arial" w:hAnsi="Arial"/>
          <w:sz w:val="21"/>
          <w:szCs w:val="21"/>
          <w:u w:val="single" w:color="auto"/>
          <w:color w:val="auto"/>
        </w:rPr>
        <w:t>Schedule 1.1(P)</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principal amount secured thereby is not hereafter increased, and no additional assets become subject to such Lien;</w:t>
      </w:r>
    </w:p>
    <w:p>
      <w:pPr>
        <w:spacing w:after="0" w:line="151" w:lineRule="exact"/>
        <w:rPr>
          <w:rFonts w:ascii="Arial" w:cs="Arial" w:eastAsia="Arial" w:hAnsi="Arial"/>
          <w:sz w:val="21"/>
          <w:szCs w:val="21"/>
          <w:color w:val="auto"/>
        </w:rPr>
      </w:pPr>
    </w:p>
    <w:p>
      <w:pPr>
        <w:jc w:val="both"/>
        <w:ind w:firstLine="1305"/>
        <w:spacing w:after="0" w:line="271" w:lineRule="auto"/>
        <w:tabs>
          <w:tab w:leader="none" w:pos="1796"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Subject to the restrictions set forth in Section 8.2.2(ii), Purchase Money Security Interests, capitalized leases and Liens securing other secured Indebtedness permitted under Section 8.2.1(iii) [Indebtedness] (excluding for the purpose of this computation any loans or deferred payments secured by Liens described on </w:t>
      </w:r>
      <w:r>
        <w:rPr>
          <w:rFonts w:ascii="Arial" w:cs="Arial" w:eastAsia="Arial" w:hAnsi="Arial"/>
          <w:sz w:val="21"/>
          <w:szCs w:val="21"/>
          <w:u w:val="single" w:color="auto"/>
          <w:color w:val="auto"/>
        </w:rPr>
        <w:t>Schedule 1.1(P)</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firstLine="1305"/>
        <w:spacing w:after="0" w:line="302" w:lineRule="auto"/>
        <w:tabs>
          <w:tab w:leader="none" w:pos="166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following, (A) if the validity or amount thereof is being contested in good faith by appropriate and lawful proceedings diligently conducted so long as levy and execution thereon have been stayed and continue to be stayed or (B) if a final judgment is entered and such judgment is discharged within thirty (30) days of entry, and in either case they do not, in the aggregate, materially impair the ability of any Loan Party to perform its Obligations hereunder or under the other Loan Documents:</w:t>
      </w:r>
    </w:p>
    <w:p>
      <w:pPr>
        <w:spacing w:after="0" w:line="143" w:lineRule="exact"/>
        <w:rPr>
          <w:sz w:val="20"/>
          <w:szCs w:val="20"/>
          <w:color w:val="auto"/>
        </w:rPr>
      </w:pPr>
    </w:p>
    <w:p>
      <w:pPr>
        <w:jc w:val="both"/>
        <w:ind w:firstLine="1305"/>
        <w:spacing w:after="0" w:line="312" w:lineRule="auto"/>
        <w:tabs>
          <w:tab w:leader="none" w:pos="161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Claims or Liens for taxes, assessments or charges due and payable and subject to interest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Loan Party maintains such reserves or other appropriate provisions as shall be required by GAAP and pays all such taxes, assessments or charges forthwith upon the commencement of proceedings to foreclose any such Lien;</w:t>
      </w:r>
    </w:p>
    <w:p>
      <w:pPr>
        <w:spacing w:after="0" w:line="133" w:lineRule="exact"/>
        <w:rPr>
          <w:rFonts w:ascii="Arial" w:cs="Arial" w:eastAsia="Arial" w:hAnsi="Arial"/>
          <w:sz w:val="19"/>
          <w:szCs w:val="19"/>
          <w:color w:val="auto"/>
        </w:rPr>
      </w:pPr>
    </w:p>
    <w:p>
      <w:pPr>
        <w:ind w:firstLine="1305"/>
        <w:spacing w:after="0" w:line="343" w:lineRule="auto"/>
        <w:tabs>
          <w:tab w:leader="none" w:pos="163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Claims, Liens or encumbrances upon, and defects of title to, real or personal property, other than Collateral, including any attachment of personal or real property or other legal process prior to adjudication of a dispute on the merits;</w:t>
      </w:r>
    </w:p>
    <w:p>
      <w:pPr>
        <w:spacing w:after="0" w:line="104" w:lineRule="exact"/>
        <w:rPr>
          <w:rFonts w:ascii="Arial" w:cs="Arial" w:eastAsia="Arial" w:hAnsi="Arial"/>
          <w:sz w:val="19"/>
          <w:szCs w:val="19"/>
          <w:color w:val="auto"/>
        </w:rPr>
      </w:pPr>
    </w:p>
    <w:p>
      <w:pPr>
        <w:ind w:left="1620" w:hanging="315"/>
        <w:spacing w:after="0"/>
        <w:tabs>
          <w:tab w:leader="none" w:pos="1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Claims or Liens of mechanics, materialmen, warehousemen, carriers, or other statutory nonconsensual Liens; or</w:t>
      </w:r>
    </w:p>
    <w:p>
      <w:pPr>
        <w:spacing w:after="0" w:line="254" w:lineRule="exact"/>
        <w:rPr>
          <w:rFonts w:ascii="Arial" w:cs="Arial" w:eastAsia="Arial" w:hAnsi="Arial"/>
          <w:sz w:val="19"/>
          <w:szCs w:val="19"/>
          <w:color w:val="auto"/>
        </w:rPr>
      </w:pPr>
    </w:p>
    <w:p>
      <w:pPr>
        <w:ind w:left="1620" w:hanging="315"/>
        <w:spacing w:after="0"/>
        <w:tabs>
          <w:tab w:leader="none" w:pos="1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Liens resulting from final judgments or orders described in Section 9.1.7 [Final Judgments or Orders].</w:t>
      </w: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shall mean any individual, corporation, partnership, limited or unlimited liability company, association, joint-stock company, trust, unincorporated organization, joint venture, government or political subdivision or agency thereof, or any other entity.</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u w:val="single" w:color="auto"/>
          <w:color w:val="auto"/>
        </w:rPr>
        <w:t>Plan</w:t>
      </w:r>
      <w:r>
        <w:rPr>
          <w:rFonts w:ascii="Arial" w:cs="Arial" w:eastAsia="Arial" w:hAnsi="Arial"/>
          <w:sz w:val="19"/>
          <w:szCs w:val="19"/>
          <w:color w:val="auto"/>
        </w:rPr>
        <w:t xml:space="preserve"> shall mean at any time an employee pension benefit plan (including a Multiple Employer Plan, but not a Multiemployer Plan) which is covered by Title IV of ERISA or is subject to the minimum funding standards under Section 412 of the Code and either (i) is maintained by any member of the ERISA Group for employees of any member of the ERISA Group or</w:t>
      </w:r>
    </w:p>
    <w:p>
      <w:pPr>
        <w:spacing w:after="0" w:line="1" w:lineRule="exact"/>
        <w:rPr>
          <w:sz w:val="20"/>
          <w:szCs w:val="20"/>
          <w:color w:val="auto"/>
        </w:rPr>
      </w:pPr>
    </w:p>
    <w:p>
      <w:pPr>
        <w:ind w:firstLine="8"/>
        <w:spacing w:after="0" w:line="246" w:lineRule="auto"/>
        <w:tabs>
          <w:tab w:leader="none" w:pos="326" w:val="left"/>
        </w:tabs>
        <w:numPr>
          <w:ilvl w:val="0"/>
          <w:numId w:val="20"/>
        </w:numPr>
        <w:rPr>
          <w:rFonts w:ascii="Arial" w:cs="Arial" w:eastAsia="Arial" w:hAnsi="Arial"/>
          <w:sz w:val="22"/>
          <w:szCs w:val="22"/>
          <w:color w:val="auto"/>
        </w:rPr>
      </w:pPr>
      <w:r>
        <w:rPr>
          <w:rFonts w:ascii="Arial" w:cs="Arial" w:eastAsia="Arial" w:hAnsi="Arial"/>
          <w:sz w:val="22"/>
          <w:szCs w:val="22"/>
          <w:color w:val="auto"/>
        </w:rPr>
        <w:t>has at any time within the preceding five years been maintained by any entity which was at such time a member of the ERISA Group for employees of any entity which was at such time a member of the ERISA Group.</w:t>
      </w:r>
    </w:p>
    <w:p>
      <w:pPr>
        <w:spacing w:after="0" w:line="1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u w:val="single" w:color="auto"/>
          <w:color w:val="auto"/>
        </w:rPr>
        <w:t>Pledge Agreement</w:t>
      </w:r>
      <w:r>
        <w:rPr>
          <w:rFonts w:ascii="Arial" w:cs="Arial" w:eastAsia="Arial" w:hAnsi="Arial"/>
          <w:sz w:val="22"/>
          <w:szCs w:val="22"/>
          <w:color w:val="auto"/>
        </w:rPr>
        <w:t xml:space="preserve"> shall collectively mean the First Amended and Restated Pledge Agreement, dated as of the Closing Date, substantially in the form of Exhibit 1.1(P),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420"/>
          </w:cols>
          <w:pgMar w:left="240" w:top="1428" w:right="2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22"/>
          <w:szCs w:val="22"/>
          <w:color w:val="auto"/>
        </w:rPr>
        <w:t>other pledge agreement executed and delivered by each of the Loan Parties to the Administrative Agent for the benefit of the Lenders.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PNC</w:t>
      </w:r>
      <w:r>
        <w:rPr>
          <w:rFonts w:ascii="Arial" w:cs="Arial" w:eastAsia="Arial" w:hAnsi="Arial"/>
          <w:sz w:val="22"/>
          <w:szCs w:val="22"/>
          <w:color w:val="auto"/>
        </w:rPr>
        <w:t xml:space="preserve"> shall mean PNC Bank, National Association, its successors and assigns.</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Potential Default</w:t>
      </w:r>
      <w:r>
        <w:rPr>
          <w:rFonts w:ascii="Arial" w:cs="Arial" w:eastAsia="Arial" w:hAnsi="Arial"/>
          <w:sz w:val="22"/>
          <w:szCs w:val="22"/>
          <w:color w:val="auto"/>
        </w:rPr>
        <w:t xml:space="preserve"> shall mean any event or condition which with notice or passage of time, or both, would constitute an Event of Default.</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PPSA</w:t>
      </w:r>
      <w:r>
        <w:rPr>
          <w:rFonts w:ascii="Arial" w:cs="Arial" w:eastAsia="Arial" w:hAnsi="Arial"/>
          <w:sz w:val="22"/>
          <w:szCs w:val="22"/>
          <w:color w:val="auto"/>
        </w:rPr>
        <w:t xml:space="preserve"> shall mean the Personal Property Security Act (British Columbia), the Civil Code of Quebec, as amended, supplemented, restated and superseded, or any other applicable Canadian federal or provincial statute pertaining to the granting, perfecting, priority or ranking of security interests, liens, hypothecs on personal and moveable property, and any successor statutes, together with any regulations thereunder, in each case as in effect from time to time. References to sections of the PPSA shall be construed to also refer to any successor sections.</w:t>
      </w:r>
    </w:p>
    <w:p>
      <w:pPr>
        <w:spacing w:after="0" w:line="19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shall mean the interest rate per annum announced (or its applicable reference rate for Canadian Dollars loans in Canada)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Principal Office</w:t>
      </w:r>
      <w:r>
        <w:rPr>
          <w:rFonts w:ascii="Arial" w:cs="Arial" w:eastAsia="Arial" w:hAnsi="Arial"/>
          <w:sz w:val="21"/>
          <w:szCs w:val="21"/>
          <w:color w:val="auto"/>
        </w:rPr>
        <w:t xml:space="preserve"> shall mean the main banking office of the Administrative Agent in Pittsburgh, Pennsylvania.</w:t>
      </w:r>
    </w:p>
    <w:p>
      <w:pPr>
        <w:spacing w:after="0" w:line="23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u w:val="single" w:color="auto"/>
          <w:color w:val="auto"/>
        </w:rPr>
        <w:t>Priority Payables</w:t>
      </w:r>
      <w:r>
        <w:rPr>
          <w:rFonts w:ascii="Arial" w:cs="Arial" w:eastAsia="Arial" w:hAnsi="Arial"/>
          <w:sz w:val="19"/>
          <w:szCs w:val="19"/>
          <w:color w:val="auto"/>
        </w:rPr>
        <w:t xml:space="preserve"> shall mean (a) the full amount of the liabilities of any Canadian Loan Party which (i) have a trust imposed to provide for payment or a security interest, pledge, lien, hypothec or charge ranking or capable of ranking senior to or pari passu with security interests, liens, hypothecs or charges securing the Obligations on any Collateral under any federal, provincial, state, county, district, municipal, local or foreign law or (ii) have a right imposed to provide for payment ranking or capable of ranking senior to or pari passu with the Obligations under federal, provincial, state, county, district, municipal, local or foreign law, regulation or directive, including, but not limited to, claims for unremitted and/or accelerated rents, taxes, wages, withholdings taxes, value added taxes, amounts payable to an insolvency administrator, employee withholdings or deductions, vacation pay, severance and termination pay, workers’ compensation obligations, government royalties or pension obligations in each case to the extent such trust, or security interest, lien hypothec or charge has been or may be imposed, including under the Wage Earner Protection Program Act (Canada) and (b) the amount which the Administrative Agent, in good faith, and on a reasonable basis, considers is or may have to be paid or incurred to realize upon any inventory which is or may be subject to retention of title by a supplier or a right of a supplier to recover possession thereof, where such supplier’s right has priority over the security interests, liens, hypothecs or charges securing the Obligations, including, without limitation, inventory subject to a right of a supplier to repossess goods pursuant to Section 81.1 of the Bankruptcy and Insolvency Act (Canada) or any applicable laws granting revendication or similar rights to unpaid suppliers or any similar laws of Canada or any other applicable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420"/>
          </w:cols>
          <w:pgMar w:left="240" w:top="1428" w:right="239" w:bottom="1440" w:gutter="0" w:footer="0" w:header="0"/>
        </w:sectPr>
      </w:pPr>
    </w:p>
    <w:bookmarkStart w:id="44" w:name="page45"/>
    <w:bookmarkEnd w:id="44"/>
    <w:p>
      <w:pPr>
        <w:jc w:val="both"/>
        <w:ind w:firstLine="1297"/>
        <w:spacing w:after="0" w:line="263" w:lineRule="auto"/>
        <w:rPr>
          <w:sz w:val="20"/>
          <w:szCs w:val="20"/>
          <w:color w:val="auto"/>
        </w:rPr>
      </w:pPr>
      <w:r>
        <w:rPr>
          <w:rFonts w:ascii="Arial" w:cs="Arial" w:eastAsia="Arial" w:hAnsi="Arial"/>
          <w:sz w:val="22"/>
          <w:szCs w:val="22"/>
          <w:u w:val="single" w:color="auto"/>
          <w:color w:val="auto"/>
        </w:rPr>
        <w:t>Prior Security Interest</w:t>
      </w:r>
      <w:r>
        <w:rPr>
          <w:rFonts w:ascii="Arial" w:cs="Arial" w:eastAsia="Arial" w:hAnsi="Arial"/>
          <w:sz w:val="22"/>
          <w:szCs w:val="22"/>
          <w:color w:val="auto"/>
        </w:rPr>
        <w:t xml:space="preserve"> shall mean a valid and enforceable perfected first-priority security interest in the Collateral which is subject only to Permitted Liens.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PTE</w:t>
      </w:r>
      <w:r>
        <w:rPr>
          <w:rFonts w:ascii="Arial" w:cs="Arial" w:eastAsia="Arial" w:hAnsi="Arial"/>
          <w:sz w:val="22"/>
          <w:szCs w:val="22"/>
          <w:color w:val="auto"/>
        </w:rPr>
        <w:t xml:space="preserve"> means a prohibited transaction class exemption issued by the U.S. Department of Labor, as any such exemption may be amended from time to time.</w:t>
      </w:r>
    </w:p>
    <w:p>
      <w:pPr>
        <w:spacing w:after="0" w:line="17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Published Rate</w:t>
      </w:r>
      <w:r>
        <w:rPr>
          <w:rFonts w:ascii="Arial" w:cs="Arial" w:eastAsia="Arial" w:hAnsi="Arial"/>
          <w:sz w:val="19"/>
          <w:szCs w:val="19"/>
          <w:color w:val="auto"/>
        </w:rPr>
        <w:t xml:space="preserve"> shall mean the rate of interest published each Business Day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Money</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Rates</w:t>
      </w:r>
      <w:r>
        <w:rPr>
          <w:rFonts w:ascii="Arial" w:cs="Arial" w:eastAsia="Arial" w:hAnsi="Arial"/>
          <w:sz w:val="19"/>
          <w:szCs w:val="19"/>
          <w:color w:val="auto"/>
        </w:rPr>
        <w:t>" listing under the caption "London Interbank Offered Rates" for a one month period (or, if no such rate is published therein for any reason, then the Published Rate shall be the rate at which U.S. Dollar deposits are offered by leading banks in the London interbank deposit market for a one month period as published in another publication selected by the Administrative Agent).</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Purchase Money Security Interest</w:t>
      </w:r>
      <w:r>
        <w:rPr>
          <w:rFonts w:ascii="Arial" w:cs="Arial" w:eastAsia="Arial" w:hAnsi="Arial"/>
          <w:sz w:val="22"/>
          <w:szCs w:val="22"/>
          <w:color w:val="auto"/>
        </w:rPr>
        <w:t xml:space="preserve"> shall mean Liens upon tangible personal property securing loans to any Loan Party or Subsidiary of a Loan Party or deferred payments by such Loan Party or Subsidiary for the purchase of such tangible personal property.</w:t>
      </w:r>
    </w:p>
    <w:p>
      <w:pPr>
        <w:spacing w:after="0" w:line="18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u w:val="single" w:color="auto"/>
          <w:color w:val="auto"/>
        </w:rPr>
        <w:t>Qualified ECP Loan Party</w:t>
      </w:r>
      <w:r>
        <w:rPr>
          <w:rFonts w:ascii="Arial" w:cs="Arial" w:eastAsia="Arial" w:hAnsi="Arial"/>
          <w:sz w:val="22"/>
          <w:szCs w:val="22"/>
          <w:color w:val="auto"/>
        </w:rPr>
        <w:t xml:space="preserve"> 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 (v)(II) of the CEA.</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Ratable Share</w:t>
      </w:r>
      <w:r>
        <w:rPr>
          <w:rFonts w:ascii="Arial" w:cs="Arial" w:eastAsia="Arial" w:hAnsi="Arial"/>
          <w:sz w:val="22"/>
          <w:szCs w:val="22"/>
          <w:color w:val="auto"/>
        </w:rPr>
        <w:t xml:space="preserve"> shall mean:</w:t>
      </w:r>
    </w:p>
    <w:p>
      <w:pPr>
        <w:spacing w:after="0" w:line="220" w:lineRule="exact"/>
        <w:rPr>
          <w:sz w:val="20"/>
          <w:szCs w:val="20"/>
          <w:color w:val="auto"/>
        </w:rPr>
      </w:pPr>
    </w:p>
    <w:p>
      <w:pPr>
        <w:jc w:val="both"/>
        <w:ind w:firstLine="1305"/>
        <w:spacing w:after="0" w:line="294" w:lineRule="auto"/>
        <w:tabs>
          <w:tab w:leader="none" w:pos="1619"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with respect to a Lender's obligation to make Revolving Credit Loans, participate in Letters of Credit and other Letter of Credit Obligations and receive payments, interest, and fees related thereto, the proportion that such Lender's Revolving Credit Commitment (excluding the Swing Loan Commitment) bears to the Revolving Credit Commitments (excluding the Swing Loan Commitment) of all of the Lenders, provided however that if the Revolving Credit Commitments have terminated or expired, the Ratable Shares for purposes of this clause shall be determined based upon the Revolving Credit Commitments (excluding the Swing Loan Commitment) most recently in effect, giving effect to any assignments;</w:t>
      </w:r>
    </w:p>
    <w:p>
      <w:pPr>
        <w:spacing w:after="0" w:line="149" w:lineRule="exact"/>
        <w:rPr>
          <w:rFonts w:ascii="Arial" w:cs="Arial" w:eastAsia="Arial" w:hAnsi="Arial"/>
          <w:sz w:val="19"/>
          <w:szCs w:val="19"/>
          <w:color w:val="auto"/>
        </w:rPr>
      </w:pPr>
    </w:p>
    <w:p>
      <w:pPr>
        <w:jc w:val="both"/>
        <w:ind w:right="20" w:firstLine="1305"/>
        <w:spacing w:after="0" w:line="343" w:lineRule="auto"/>
        <w:tabs>
          <w:tab w:leader="none" w:pos="1642"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with respect to a Lender’s obligation to make Term Loans and receive payments, interest, and fees related thereto, the proportion that such Lender’s Term Loan Commitment bears to the Term Loan Commitments of all of the Lenders; and</w:t>
      </w:r>
    </w:p>
    <w:p>
      <w:pPr>
        <w:spacing w:after="0" w:line="104" w:lineRule="exact"/>
        <w:rPr>
          <w:rFonts w:ascii="Arial" w:cs="Arial" w:eastAsia="Arial" w:hAnsi="Arial"/>
          <w:sz w:val="19"/>
          <w:szCs w:val="19"/>
          <w:color w:val="auto"/>
        </w:rPr>
      </w:pPr>
    </w:p>
    <w:p>
      <w:pPr>
        <w:jc w:val="both"/>
        <w:ind w:firstLine="1305"/>
        <w:spacing w:after="0" w:line="265" w:lineRule="auto"/>
        <w:tabs>
          <w:tab w:leader="none" w:pos="1674" w:val="left"/>
        </w:tabs>
        <w:numPr>
          <w:ilvl w:val="0"/>
          <w:numId w:val="21"/>
        </w:numPr>
        <w:rPr>
          <w:rFonts w:ascii="Arial" w:cs="Arial" w:eastAsia="Arial" w:hAnsi="Arial"/>
          <w:sz w:val="21"/>
          <w:szCs w:val="21"/>
          <w:color w:val="auto"/>
        </w:rPr>
      </w:pPr>
      <w:r>
        <w:rPr>
          <w:rFonts w:ascii="Arial" w:cs="Arial" w:eastAsia="Arial" w:hAnsi="Arial"/>
          <w:sz w:val="21"/>
          <w:szCs w:val="21"/>
          <w:color w:val="auto"/>
        </w:rPr>
        <w:t>with respect to all other matters as to a particular Lender, the percentage obtained by dividing (i) such Lender's Revolving Credit Commitment plus Term Loan, by (ii) the sum of the aggregate amount of the Revolving Credit Commitments plus Term Loans of all Lenders; provided however that if the Revolving Credit Commitments have terminated or expired, the computation in this clause shall be determined based upon the Revolving Credit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72" w:lineRule="exact"/>
        <w:rPr>
          <w:rFonts w:ascii="Arial" w:cs="Arial" w:eastAsia="Arial" w:hAnsi="Arial"/>
          <w:sz w:val="21"/>
          <w:szCs w:val="21"/>
          <w:color w:val="auto"/>
        </w:rPr>
      </w:pPr>
    </w:p>
    <w:p>
      <w:pPr>
        <w:ind w:left="5600" w:hanging="120"/>
        <w:spacing w:after="0"/>
        <w:tabs>
          <w:tab w:leader="none" w:pos="56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1420"/>
          </w:cols>
          <w:pgMar w:left="240" w:top="1428" w:right="239" w:bottom="1440" w:gutter="0" w:footer="0" w:header="0"/>
        </w:sectPr>
      </w:pPr>
    </w:p>
    <w:bookmarkStart w:id="45" w:name="page46"/>
    <w:bookmarkEnd w:id="45"/>
    <w:p>
      <w:pPr>
        <w:jc w:val="both"/>
        <w:spacing w:after="0" w:line="250" w:lineRule="auto"/>
        <w:rPr>
          <w:sz w:val="20"/>
          <w:szCs w:val="20"/>
          <w:color w:val="auto"/>
        </w:rPr>
      </w:pPr>
      <w:r>
        <w:rPr>
          <w:rFonts w:ascii="Arial" w:cs="Arial" w:eastAsia="Arial" w:hAnsi="Arial"/>
          <w:sz w:val="22"/>
          <w:szCs w:val="22"/>
          <w:color w:val="auto"/>
        </w:rPr>
        <w:t>Commitments most recently in effect, giving effect to any assignments, and not on the current amount of the Revolving Credit Commitments and provided further in the case of Section 2.10 [Defaulting Lenders] when a Defaulting Lender shall exist, "Ratable Share" shall mean the percentage of the aggregate Commitments (disregarding any Defaulting Lender's Commitment) represented by such Lender's Commitment.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Recipient</w:t>
      </w:r>
      <w:r>
        <w:rPr>
          <w:rFonts w:ascii="Arial" w:cs="Arial" w:eastAsia="Arial" w:hAnsi="Arial"/>
          <w:sz w:val="21"/>
          <w:szCs w:val="21"/>
          <w:color w:val="auto"/>
        </w:rPr>
        <w:t xml:space="preserve"> shall mean (i) the Administrative Agent, (ii) any Lender and (iii) the Issuing Lender, as applicable.</w:t>
      </w:r>
    </w:p>
    <w:p>
      <w:pPr>
        <w:spacing w:after="0" w:line="23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u w:val="single" w:color="auto"/>
          <w:color w:val="auto"/>
        </w:rPr>
        <w:t>Recovery Event</w:t>
      </w:r>
      <w:r>
        <w:rPr>
          <w:rFonts w:ascii="Arial" w:cs="Arial" w:eastAsia="Arial" w:hAnsi="Arial"/>
          <w:sz w:val="21"/>
          <w:szCs w:val="21"/>
          <w:color w:val="auto"/>
        </w:rPr>
        <w:t xml:space="preserve"> shall mean any settlement of or payment in respect of any property or casualty insurance claim or any condemnation proceeding relating to any asset of any Loan Party or any Subsidiary of a Loan Party.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Reference Currency</w:t>
      </w:r>
      <w:r>
        <w:rPr>
          <w:rFonts w:ascii="Arial" w:cs="Arial" w:eastAsia="Arial" w:hAnsi="Arial"/>
          <w:sz w:val="22"/>
          <w:szCs w:val="22"/>
          <w:color w:val="auto"/>
        </w:rPr>
        <w:t xml:space="preserve"> shall have the meaning specified in the definition of Equivalent Amount.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Reimbursement Obligation</w:t>
      </w:r>
      <w:r>
        <w:rPr>
          <w:rFonts w:ascii="Arial" w:cs="Arial" w:eastAsia="Arial" w:hAnsi="Arial"/>
          <w:sz w:val="19"/>
          <w:szCs w:val="19"/>
          <w:color w:val="auto"/>
        </w:rPr>
        <w:t xml:space="preserve"> shall have the meaning specified in Section 2.8.3 [Disbursements, Reimbursement].</w:t>
      </w:r>
    </w:p>
    <w:p>
      <w:pPr>
        <w:spacing w:after="0" w:line="25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Related Parties</w:t>
      </w:r>
      <w:r>
        <w:rPr>
          <w:rFonts w:ascii="Arial" w:cs="Arial" w:eastAsia="Arial" w:hAnsi="Arial"/>
          <w:sz w:val="22"/>
          <w:szCs w:val="22"/>
          <w:color w:val="auto"/>
        </w:rPr>
        <w:t xml:space="preserve"> shall mean, with respect to any Person, such Person's Affiliates and the partners, directors, officers, employees, agents and advisors of such Person and of such Person's Affiliates.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Relevant Interbank Market</w:t>
      </w:r>
      <w:r>
        <w:rPr>
          <w:rFonts w:ascii="Arial" w:cs="Arial" w:eastAsia="Arial" w:hAnsi="Arial"/>
          <w:sz w:val="22"/>
          <w:szCs w:val="22"/>
          <w:color w:val="auto"/>
        </w:rPr>
        <w:t xml:space="preserve"> shall mean in relation to Euro, the European Interbank Market, and, in relation to any other currency, the London interbank market or other applicable offshore interbank market.</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u w:val="single" w:color="auto"/>
          <w:color w:val="auto"/>
        </w:rPr>
        <w:t>Relief Proceeding</w:t>
      </w:r>
      <w:r>
        <w:rPr>
          <w:rFonts w:ascii="Arial" w:cs="Arial" w:eastAsia="Arial" w:hAnsi="Arial"/>
          <w:sz w:val="19"/>
          <w:szCs w:val="19"/>
          <w:color w:val="auto"/>
        </w:rPr>
        <w:t xml:space="preserve"> shall mean any proceeding seeking a decree or order for relief in respect of any Loan Party or Subsidiary of a Loan Party in a voluntary or involuntary case or proceeding under any applicable bankruptcy, insolvency, reorganization, arrangement, wind up, administration or other similar law now or hereafter in effect, or for the appointment of a receiver, interim receiver, receiver or manager, liquidator, assignee, custodian, trustee, monitor, sequestrator, conservator (or similar official), administrator of any Loan Party or Subsidiary of a Loan Party for any substantial part of its property, or for the winding-up, sale or liquidation of its affairs, or an assignment for the benefit of its creditors.</w:t>
      </w:r>
    </w:p>
    <w:p>
      <w:pPr>
        <w:spacing w:after="0" w:line="15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u w:val="single" w:color="auto"/>
          <w:color w:val="auto"/>
        </w:rPr>
        <w:t>Reportable Compliance Event</w:t>
      </w:r>
      <w:r>
        <w:rPr>
          <w:rFonts w:ascii="Arial" w:cs="Arial" w:eastAsia="Arial" w:hAnsi="Arial"/>
          <w:sz w:val="19"/>
          <w:szCs w:val="19"/>
          <w:color w:val="auto"/>
        </w:rPr>
        <w:t xml:space="preserve"> shall mean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420"/>
          </w:cols>
          <w:pgMar w:left="240" w:top="1428" w:right="239" w:bottom="1440" w:gutter="0" w:footer="0" w:header="0"/>
        </w:sectPr>
      </w:pPr>
    </w:p>
    <w:bookmarkStart w:id="46" w:name="page47"/>
    <w:bookmarkEnd w:id="46"/>
    <w:p>
      <w:pPr>
        <w:ind w:left="2300" w:hanging="266"/>
        <w:spacing w:after="0"/>
        <w:tabs>
          <w:tab w:leader="none" w:pos="2300" w:val="left"/>
        </w:tabs>
        <w:numPr>
          <w:ilvl w:val="1"/>
          <w:numId w:val="22"/>
        </w:numPr>
        <w:rPr>
          <w:rFonts w:ascii="Arial" w:cs="Arial" w:eastAsia="Arial" w:hAnsi="Arial"/>
          <w:sz w:val="21"/>
          <w:szCs w:val="21"/>
          <w:color w:val="auto"/>
        </w:rPr>
      </w:pPr>
      <w:r>
        <w:rPr>
          <w:rFonts w:ascii="Arial" w:cs="Arial" w:eastAsia="Arial" w:hAnsi="Arial"/>
          <w:sz w:val="21"/>
          <w:szCs w:val="21"/>
          <w:color w:val="auto"/>
        </w:rPr>
        <w:t>If there exists fewer than three (3) Lenders, all Lenders (other than any Defaulting Lender), and</w:t>
      </w:r>
    </w:p>
    <w:p>
      <w:pPr>
        <w:spacing w:after="0" w:line="231" w:lineRule="exact"/>
        <w:rPr>
          <w:rFonts w:ascii="Arial" w:cs="Arial" w:eastAsia="Arial" w:hAnsi="Arial"/>
          <w:sz w:val="21"/>
          <w:szCs w:val="21"/>
          <w:color w:val="auto"/>
        </w:rPr>
      </w:pPr>
    </w:p>
    <w:p>
      <w:pPr>
        <w:jc w:val="both"/>
        <w:ind w:firstLine="1305"/>
        <w:spacing w:after="0" w:line="302" w:lineRule="auto"/>
        <w:tabs>
          <w:tab w:leader="none" w:pos="1628"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there exist three (3) or more Lenders, Lenders (other than any Defaulting Lender) having more than 50% of the sum of (a)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 and (b) the aggregate outstanding amount of any Term Loan.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Required Share</w:t>
      </w:r>
      <w:r>
        <w:rPr>
          <w:rFonts w:ascii="Arial" w:cs="Arial" w:eastAsia="Arial" w:hAnsi="Arial"/>
          <w:sz w:val="19"/>
          <w:szCs w:val="19"/>
          <w:color w:val="auto"/>
        </w:rPr>
        <w:t xml:space="preserve"> shall have the meaning assigned to such term in Section 5.11 [Settlement Date Procedures].</w:t>
      </w:r>
    </w:p>
    <w:p>
      <w:pPr>
        <w:spacing w:after="0" w:line="25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u w:val="single" w:color="auto"/>
          <w:color w:val="auto"/>
        </w:rPr>
        <w:t>Revolving Credit Commitment</w:t>
      </w:r>
      <w:r>
        <w:rPr>
          <w:rFonts w:ascii="Arial" w:cs="Arial" w:eastAsia="Arial" w:hAnsi="Arial"/>
          <w:sz w:val="22"/>
          <w:szCs w:val="22"/>
          <w:color w:val="auto"/>
        </w:rPr>
        <w:t xml:space="preserve"> shall mean, as to any Lender at any time, the amount initially set forth opposite its name on </w:t>
      </w:r>
      <w:r>
        <w:rPr>
          <w:rFonts w:ascii="Arial" w:cs="Arial" w:eastAsia="Arial" w:hAnsi="Arial"/>
          <w:sz w:val="22"/>
          <w:szCs w:val="22"/>
          <w:u w:val="single" w:color="auto"/>
          <w:color w:val="auto"/>
        </w:rPr>
        <w:t>Schedule 1.1(B)</w:t>
      </w:r>
      <w:r>
        <w:rPr>
          <w:rFonts w:ascii="Arial" w:cs="Arial" w:eastAsia="Arial" w:hAnsi="Arial"/>
          <w:sz w:val="22"/>
          <w:szCs w:val="22"/>
          <w:color w:val="auto"/>
        </w:rPr>
        <w:t xml:space="preserve"> in the column labeled "Amount of Commitment for Revolving Credit Loans", as such Commitment is thereafter assigned or modified, including any amount by which such Lender agrees to increase its Commitment pursuant to Section 12.16 [Increase in Commitments] hereof, and </w:t>
      </w:r>
      <w:r>
        <w:rPr>
          <w:rFonts w:ascii="Arial" w:cs="Arial" w:eastAsia="Arial" w:hAnsi="Arial"/>
          <w:sz w:val="22"/>
          <w:szCs w:val="22"/>
          <w:u w:val="single" w:color="auto"/>
          <w:color w:val="auto"/>
        </w:rPr>
        <w:t>Revolving Credit Commitments</w:t>
      </w:r>
      <w:r>
        <w:rPr>
          <w:rFonts w:ascii="Arial" w:cs="Arial" w:eastAsia="Arial" w:hAnsi="Arial"/>
          <w:sz w:val="22"/>
          <w:szCs w:val="22"/>
          <w:color w:val="auto"/>
        </w:rPr>
        <w:t xml:space="preserve"> shall mean the aggregate Revolving Credit Commitments of all of the Lenders.</w:t>
      </w:r>
    </w:p>
    <w:p>
      <w:pPr>
        <w:spacing w:after="0" w:line="19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Revolving Credit Loans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shall mean separately, all Revolving Credit Loans or any Revolving Credit Loan made by the Lenders or one of the Lenders to the Borrowers pursuant to Section 2.1 [Revolving Credit Commitments] or 2.8.3 [Disbursements, Reimbursement].</w:t>
      </w:r>
    </w:p>
    <w:p>
      <w:pPr>
        <w:spacing w:after="0" w:line="186"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u w:val="single" w:color="auto"/>
          <w:color w:val="auto"/>
        </w:rPr>
        <w:t>Revolving Facility Usage</w:t>
      </w:r>
      <w:r>
        <w:rPr>
          <w:rFonts w:ascii="Arial" w:cs="Arial" w:eastAsia="Arial" w:hAnsi="Arial"/>
          <w:sz w:val="19"/>
          <w:szCs w:val="19"/>
          <w:color w:val="auto"/>
        </w:rPr>
        <w:t xml:space="preserve"> shall mean at any time the Dollar Equivalent sum of the outstanding Revolving Credit Loans (including the outstanding Optional Currency Loans), the outstanding Swing Loans, and the Letter of Credit Obligations.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Sanctioned Country</w:t>
      </w:r>
      <w:r>
        <w:rPr>
          <w:rFonts w:ascii="Arial" w:cs="Arial" w:eastAsia="Arial" w:hAnsi="Arial"/>
          <w:sz w:val="19"/>
          <w:szCs w:val="19"/>
          <w:color w:val="auto"/>
        </w:rPr>
        <w:t xml:space="preserve"> shall mean a country subject to a sanctions program maintained under any Anti-Terrorism Law.</w:t>
      </w:r>
    </w:p>
    <w:p>
      <w:pPr>
        <w:spacing w:after="0" w:line="25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u w:val="single" w:color="auto"/>
          <w:color w:val="auto"/>
        </w:rPr>
        <w:t>Sanctioned Person</w:t>
      </w:r>
      <w:r>
        <w:rPr>
          <w:rFonts w:ascii="Arial" w:cs="Arial" w:eastAsia="Arial" w:hAnsi="Arial"/>
          <w:sz w:val="19"/>
          <w:szCs w:val="19"/>
          <w:color w:val="auto"/>
        </w:rPr>
        <w:t xml:space="preserve">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3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u w:val="single" w:color="auto"/>
          <w:color w:val="auto"/>
        </w:rPr>
        <w:t>Security Agreement</w:t>
      </w:r>
      <w:r>
        <w:rPr>
          <w:rFonts w:ascii="Arial" w:cs="Arial" w:eastAsia="Arial" w:hAnsi="Arial"/>
          <w:sz w:val="21"/>
          <w:szCs w:val="21"/>
          <w:color w:val="auto"/>
        </w:rPr>
        <w:t xml:space="preserve"> shall collectively mean the Amended and Restated Security Agreement, dated as of the Closing Date, substantially in the form of Exhibit 1.1(S) and any other security agreement and/or any Deed of Hypothec executed and delivered by any of the Loan Parties to the Administrative Agent for the benefit of the Lenders.</w:t>
      </w:r>
    </w:p>
    <w:p>
      <w:pPr>
        <w:spacing w:after="0" w:line="1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Senior Officer</w:t>
      </w:r>
      <w:r>
        <w:rPr>
          <w:rFonts w:ascii="Arial" w:cs="Arial" w:eastAsia="Arial" w:hAnsi="Arial"/>
          <w:sz w:val="22"/>
          <w:szCs w:val="22"/>
          <w:color w:val="auto"/>
        </w:rPr>
        <w:t xml:space="preserve"> shall mean the Chief Executive Officer, President, Chief or Deputy Chief Financial Officer, Treasurer or Assistant Treasurer of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ectPr>
          <w:pgSz w:w="11900" w:h="16838" w:orient="portrait"/>
          <w:cols w:equalWidth="0" w:num="1">
            <w:col w:w="11420"/>
          </w:cols>
          <w:pgMar w:left="240" w:top="1428" w:right="239" w:bottom="1440" w:gutter="0" w:footer="0" w:header="0"/>
        </w:sectPr>
      </w:pPr>
    </w:p>
    <w:bookmarkStart w:id="47" w:name="page48"/>
    <w:bookmarkEnd w:id="47"/>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shall mean the Business Day on which the Administrative Agent elects to effect settlement pursuant Section 5.11 [Settlement Date Procedures].</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xml:space="preserve"> shall mean, with respect to any Person on any date of determination, taking into account such right of reimbursement, contribution or similar right available to such Person from other Persons, that on such date (i) the fair value of the property of such Person is greater than the total amount of liabilities, including, without limitation,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Standard &amp; Poor's</w:t>
      </w:r>
      <w:r>
        <w:rPr>
          <w:rFonts w:ascii="Arial" w:cs="Arial" w:eastAsia="Arial" w:hAnsi="Arial"/>
          <w:sz w:val="19"/>
          <w:szCs w:val="19"/>
          <w:color w:val="auto"/>
        </w:rPr>
        <w:t xml:space="preserve"> shall mean Standard &amp; Poor's Ratings Services, a division of The McGraw-Hill Companies,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its successors.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Statements</w:t>
      </w:r>
      <w:r>
        <w:rPr>
          <w:rFonts w:ascii="Arial" w:cs="Arial" w:eastAsia="Arial" w:hAnsi="Arial"/>
          <w:sz w:val="22"/>
          <w:szCs w:val="22"/>
          <w:color w:val="auto"/>
        </w:rPr>
        <w:t xml:space="preserve"> shall have the meaning specified in Section 6.1.6(i) [Historical Statements].</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of any Person at any time shall mean any corporation, trust, partnership, any limited liability company or other business entity (i)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Subsidiary Equity Interests</w:t>
      </w:r>
      <w:r>
        <w:rPr>
          <w:rFonts w:ascii="Arial" w:cs="Arial" w:eastAsia="Arial" w:hAnsi="Arial"/>
          <w:sz w:val="19"/>
          <w:szCs w:val="19"/>
          <w:color w:val="auto"/>
        </w:rPr>
        <w:t xml:space="preserve"> shall have the meaning specified in Section 6.1.2 [Subsidiaries and Owners; Investment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Companies].</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Swap</w:t>
      </w:r>
      <w:r>
        <w:rPr>
          <w:rFonts w:ascii="Arial" w:cs="Arial" w:eastAsia="Arial" w:hAnsi="Arial"/>
          <w:sz w:val="22"/>
          <w:szCs w:val="22"/>
          <w:color w:val="auto"/>
        </w:rPr>
        <w:t xml:space="preserve"> 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Swap Obligation</w:t>
      </w:r>
      <w:r>
        <w:rPr>
          <w:rFonts w:ascii="Arial" w:cs="Arial" w:eastAsia="Arial" w:hAnsi="Arial"/>
          <w:sz w:val="22"/>
          <w:szCs w:val="22"/>
          <w:color w:val="auto"/>
        </w:rPr>
        <w:t xml:space="preserve"> shall mean any obligation to pay or perform under any agreement, contract or transaction that constitutes a Swap which is also a Lender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ectPr>
          <w:pgSz w:w="11900" w:h="16838" w:orient="portrait"/>
          <w:cols w:equalWidth="0" w:num="1">
            <w:col w:w="11420"/>
          </w:cols>
          <w:pgMar w:left="240" w:top="1428"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Interest Rate Hedge, a Lender Provided Commodity Hedge or a Lender Provided Foreign Currency Hedge.</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Swing Loan Commitment</w:t>
      </w:r>
      <w:r>
        <w:rPr>
          <w:rFonts w:ascii="Arial" w:cs="Arial" w:eastAsia="Arial" w:hAnsi="Arial"/>
          <w:sz w:val="22"/>
          <w:szCs w:val="22"/>
          <w:color w:val="auto"/>
        </w:rPr>
        <w:t xml:space="preserve"> shall mean PNC's commitment to make Swing Loans to the Borrowers pursuant to Section 2.1.2 [Swing Loan Commitment] hereof in an aggregate principal amount up to $15,000,000.</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Swing Loan Lender</w:t>
      </w:r>
      <w:r>
        <w:rPr>
          <w:rFonts w:ascii="Arial" w:cs="Arial" w:eastAsia="Arial" w:hAnsi="Arial"/>
          <w:sz w:val="21"/>
          <w:szCs w:val="21"/>
          <w:color w:val="auto"/>
        </w:rPr>
        <w:t xml:space="preserve"> shall mean PNC, in its capacity as Lender of Swing Loans pursuant to the Swing Loan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Commitment.</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Swing Loan Note</w:t>
      </w:r>
      <w:r>
        <w:rPr>
          <w:rFonts w:ascii="Arial" w:cs="Arial" w:eastAsia="Arial" w:hAnsi="Arial"/>
          <w:sz w:val="22"/>
          <w:szCs w:val="22"/>
          <w:color w:val="auto"/>
        </w:rPr>
        <w:t xml:space="preserve"> shall mean the Swing Loan Note of the Borrowers in the form of </w:t>
      </w:r>
      <w:r>
        <w:rPr>
          <w:rFonts w:ascii="Arial" w:cs="Arial" w:eastAsia="Arial" w:hAnsi="Arial"/>
          <w:sz w:val="22"/>
          <w:szCs w:val="22"/>
          <w:u w:val="single" w:color="auto"/>
          <w:color w:val="auto"/>
        </w:rPr>
        <w:t>Exhibit 1.1(N)(2)</w:t>
      </w:r>
      <w:r>
        <w:rPr>
          <w:rFonts w:ascii="Arial" w:cs="Arial" w:eastAsia="Arial" w:hAnsi="Arial"/>
          <w:sz w:val="22"/>
          <w:szCs w:val="22"/>
          <w:color w:val="auto"/>
        </w:rPr>
        <w:t xml:space="preserve"> evidencing the Swing Loans, together with all amendments, extensions, renewals, replacements, refinancings or refundings thereof in whole or in part.</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Swing Loan Request</w:t>
      </w:r>
      <w:r>
        <w:rPr>
          <w:rFonts w:ascii="Arial" w:cs="Arial" w:eastAsia="Arial" w:hAnsi="Arial"/>
          <w:sz w:val="22"/>
          <w:szCs w:val="22"/>
          <w:color w:val="auto"/>
        </w:rPr>
        <w:t xml:space="preserve"> shall mean a request for Swing Loans made in accordance with Section 2.4.2 [Swing Loan Requests] hereof.</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Swing Loans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Swing Loan</w:t>
      </w:r>
      <w:r>
        <w:rPr>
          <w:rFonts w:ascii="Arial" w:cs="Arial" w:eastAsia="Arial" w:hAnsi="Arial"/>
          <w:sz w:val="22"/>
          <w:szCs w:val="22"/>
          <w:color w:val="auto"/>
        </w:rPr>
        <w:t xml:space="preserve"> shall mean separately all Swing Loans or any Swing Loan made by PNC to the Borrowers pursuant to Section 2.1.2 [Swing Loan Commitment] hereof.</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Target</w:t>
      </w:r>
      <w:r>
        <w:rPr>
          <w:rFonts w:ascii="Arial" w:cs="Arial" w:eastAsia="Arial" w:hAnsi="Arial"/>
          <w:sz w:val="22"/>
          <w:szCs w:val="22"/>
          <w:color w:val="auto"/>
        </w:rPr>
        <w:t xml:space="preserve"> shall have the meaning assigned to such term in Section 8.2.6 [Liquidations, </w:t>
      </w:r>
      <w:r>
        <w:rPr>
          <w:rFonts w:ascii="Arial" w:cs="Arial" w:eastAsia="Arial" w:hAnsi="Arial"/>
          <w:sz w:val="22"/>
          <w:szCs w:val="22"/>
          <w:u w:val="single" w:color="auto"/>
          <w:color w:val="auto"/>
        </w:rPr>
        <w:t>Mergers, Consolidations,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Acquisitions</w:t>
      </w:r>
      <w:r>
        <w:rPr>
          <w:rFonts w:ascii="Arial" w:cs="Arial" w:eastAsia="Arial" w:hAnsi="Arial"/>
          <w:sz w:val="22"/>
          <w:szCs w:val="22"/>
          <w:color w:val="auto"/>
        </w:rPr>
        <w:t>] hereof.</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xml:space="preserve"> shall mean all present or future taxes, levies, imposts, duties, deductions, withholdings (including backup withholding), assessments, fees or other charges imposed by any Official Body, including any interest, additions to tax or penalties applicable thereto.</w:t>
      </w:r>
    </w:p>
    <w:p>
      <w:pPr>
        <w:spacing w:after="0" w:line="186"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shall mean, as to any Lender at any time, the amount initially set forth opposite its name on Schedule 1.1(B) in the column labeled "Amount of Commitment for Term Loans," as such Commitment is thereafter assigned or modified and Term Loan Commitments shall mean the aggregate Term Loan Commitments of all of the Lenders.</w:t>
      </w:r>
    </w:p>
    <w:p>
      <w:pPr>
        <w:spacing w:after="0" w:line="13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u w:val="single" w:color="auto"/>
          <w:color w:val="auto"/>
        </w:rPr>
        <w:t>Term Loans</w:t>
      </w:r>
      <w:r>
        <w:rPr>
          <w:rFonts w:ascii="Arial" w:cs="Arial" w:eastAsia="Arial" w:hAnsi="Arial"/>
          <w:sz w:val="21"/>
          <w:szCs w:val="21"/>
          <w:color w:val="auto"/>
        </w:rPr>
        <w:t xml:space="preserve"> shall mean collectively and Term Loan shall mean separately all Term Loans or any Term Loans made by the Lenders or one of the Lenders to the Borrowers pursuant to Section 3.1[Term Loans Commitments].</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UCC</w:t>
      </w:r>
      <w:r>
        <w:rPr>
          <w:rFonts w:ascii="Arial" w:cs="Arial" w:eastAsia="Arial" w:hAnsi="Arial"/>
          <w:sz w:val="22"/>
          <w:szCs w:val="22"/>
          <w:color w:val="auto"/>
        </w:rPr>
        <w:t xml:space="preserve"> shall mean the Uniform Commercial Code (or any similar or equivalent legislation) as in effect in any applicable jurisdiction.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UCP</w:t>
      </w:r>
      <w:r>
        <w:rPr>
          <w:rFonts w:ascii="Arial" w:cs="Arial" w:eastAsia="Arial" w:hAnsi="Arial"/>
          <w:sz w:val="22"/>
          <w:szCs w:val="22"/>
          <w:color w:val="auto"/>
        </w:rPr>
        <w:t xml:space="preserve"> shall have the meaning specified in Section 12.11.1 [Governing Law].</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UK Borrower</w:t>
      </w:r>
      <w:r>
        <w:rPr>
          <w:rFonts w:ascii="Arial" w:cs="Arial" w:eastAsia="Arial" w:hAnsi="Arial"/>
          <w:sz w:val="22"/>
          <w:szCs w:val="22"/>
          <w:color w:val="auto"/>
        </w:rPr>
        <w:t xml:space="preserve"> shall mean a Borrower organized or otherwise formed or registered under the laws of England and Wales, and </w:t>
      </w:r>
      <w:r>
        <w:rPr>
          <w:rFonts w:ascii="Arial" w:cs="Arial" w:eastAsia="Arial" w:hAnsi="Arial"/>
          <w:sz w:val="22"/>
          <w:szCs w:val="22"/>
          <w:u w:val="single" w:color="auto"/>
          <w:color w:val="auto"/>
        </w:rPr>
        <w:t>UK Borrowers</w:t>
      </w:r>
      <w:r>
        <w:rPr>
          <w:rFonts w:ascii="Arial" w:cs="Arial" w:eastAsia="Arial" w:hAnsi="Arial"/>
          <w:sz w:val="22"/>
          <w:szCs w:val="22"/>
          <w:color w:val="auto"/>
        </w:rPr>
        <w:t xml:space="preserve"> shall mean all UK Borrowers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ectPr>
          <w:pgSz w:w="11900" w:h="16838" w:orient="portrait"/>
          <w:cols w:equalWidth="0" w:num="1">
            <w:col w:w="11420"/>
          </w:cols>
          <w:pgMar w:left="240" w:top="1428" w:right="239" w:bottom="1440" w:gutter="0" w:footer="0" w:header="0"/>
        </w:sectPr>
      </w:pPr>
    </w:p>
    <w:bookmarkStart w:id="49" w:name="page50"/>
    <w:bookmarkEnd w:id="49"/>
    <w:p>
      <w:pPr>
        <w:jc w:val="both"/>
        <w:ind w:firstLine="1297"/>
        <w:spacing w:after="0" w:line="263" w:lineRule="auto"/>
        <w:rPr>
          <w:sz w:val="20"/>
          <w:szCs w:val="20"/>
          <w:color w:val="auto"/>
        </w:rPr>
      </w:pPr>
      <w:r>
        <w:rPr>
          <w:rFonts w:ascii="Arial" w:cs="Arial" w:eastAsia="Arial" w:hAnsi="Arial"/>
          <w:sz w:val="22"/>
          <w:szCs w:val="22"/>
          <w:u w:val="single" w:color="auto"/>
          <w:color w:val="auto"/>
        </w:rPr>
        <w:t>UK Debenture</w:t>
      </w:r>
      <w:r>
        <w:rPr>
          <w:rFonts w:ascii="Arial" w:cs="Arial" w:eastAsia="Arial" w:hAnsi="Arial"/>
          <w:sz w:val="22"/>
          <w:szCs w:val="22"/>
          <w:color w:val="auto"/>
        </w:rPr>
        <w:t xml:space="preserve"> shall mean the all assets debenture granted by each UK Borrower and UK Guarantors to the Administrative Agent for the benefit of the Lenders.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UK Guarantors</w:t>
      </w:r>
      <w:r>
        <w:rPr>
          <w:rFonts w:ascii="Arial" w:cs="Arial" w:eastAsia="Arial" w:hAnsi="Arial"/>
          <w:sz w:val="22"/>
          <w:szCs w:val="22"/>
          <w:color w:val="auto"/>
        </w:rPr>
        <w:t xml:space="preserve"> shall mean a Guarantor organized or otherwise formed or registered under the laws of England and Wales, and </w:t>
      </w:r>
      <w:r>
        <w:rPr>
          <w:rFonts w:ascii="Arial" w:cs="Arial" w:eastAsia="Arial" w:hAnsi="Arial"/>
          <w:sz w:val="22"/>
          <w:szCs w:val="22"/>
          <w:u w:val="single" w:color="auto"/>
          <w:color w:val="auto"/>
        </w:rPr>
        <w:t>UK Guarantors</w:t>
      </w:r>
      <w:r>
        <w:rPr>
          <w:rFonts w:ascii="Arial" w:cs="Arial" w:eastAsia="Arial" w:hAnsi="Arial"/>
          <w:sz w:val="22"/>
          <w:szCs w:val="22"/>
          <w:color w:val="auto"/>
        </w:rPr>
        <w:t xml:space="preserve"> shall mean all UK Guarantors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UK Security Documents</w:t>
      </w:r>
      <w:r>
        <w:rPr>
          <w:rFonts w:ascii="Arial" w:cs="Arial" w:eastAsia="Arial" w:hAnsi="Arial"/>
          <w:sz w:val="22"/>
          <w:szCs w:val="22"/>
          <w:color w:val="auto"/>
        </w:rPr>
        <w:t xml:space="preserve"> shall mean the UK Debenture and the UK Share Charge.</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UK Share Charge</w:t>
      </w:r>
      <w:r>
        <w:rPr>
          <w:rFonts w:ascii="Arial" w:cs="Arial" w:eastAsia="Arial" w:hAnsi="Arial"/>
          <w:sz w:val="22"/>
          <w:szCs w:val="22"/>
          <w:color w:val="auto"/>
        </w:rPr>
        <w:t xml:space="preserve"> shall mean the charge over 65% of the issued shares in Rail Technologies (UK) by Rail Technologies Inc.</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u w:val="single" w:color="auto"/>
          <w:color w:val="auto"/>
        </w:rPr>
        <w:t>Undrawn Availability</w:t>
      </w:r>
      <w:r>
        <w:rPr>
          <w:rFonts w:ascii="Arial" w:cs="Arial" w:eastAsia="Arial" w:hAnsi="Arial"/>
          <w:sz w:val="22"/>
          <w:szCs w:val="22"/>
          <w:color w:val="auto"/>
        </w:rPr>
        <w:t xml:space="preserve"> shall mean, on any date of determination, an amount equal to the Revolving Credit Commitments available to the Borrowers at any time to the extent that the utilization of such Revolving Credit Commitments would not violate the covenant set forth in Section 8.2.13 [Maximum Gross Leverage Ratio] on a pro forma basis minus the Revolving Facility Usage.</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u w:val="single" w:color="auto"/>
          <w:color w:val="auto"/>
        </w:rPr>
        <w:t>Unpaid Drawing</w:t>
      </w:r>
      <w:r>
        <w:rPr>
          <w:rFonts w:ascii="Arial" w:cs="Arial" w:eastAsia="Arial" w:hAnsi="Arial"/>
          <w:sz w:val="22"/>
          <w:szCs w:val="22"/>
          <w:color w:val="auto"/>
        </w:rPr>
        <w:t xml:space="preserve"> shall mean, with respect to any Letter of Credit, the aggregate Dollar Equivalent Amount of the draws made on such Letter of Credit that have not been reimbursed by the Borrowers.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u w:val="single" w:color="auto"/>
          <w:color w:val="auto"/>
        </w:rPr>
        <w:t>UP Settlement</w:t>
      </w:r>
      <w:r>
        <w:rPr>
          <w:rFonts w:ascii="Arial" w:cs="Arial" w:eastAsia="Arial" w:hAnsi="Arial"/>
          <w:sz w:val="22"/>
          <w:szCs w:val="22"/>
          <w:color w:val="auto"/>
        </w:rPr>
        <w:t xml:space="preserve"> shall mean the settlement arrangement between the Union Pacific Railroad Company and the Loan Parties described in Form 8-K that was filed by the Company on March 14, 2019.</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u w:val="single" w:color="auto"/>
          <w:color w:val="auto"/>
        </w:rPr>
        <w:t>USA PATRIOT Act</w:t>
      </w:r>
      <w:r>
        <w:rPr>
          <w:rFonts w:ascii="Arial" w:cs="Arial" w:eastAsia="Arial" w:hAnsi="Arial"/>
          <w:sz w:val="22"/>
          <w:szCs w:val="22"/>
          <w:color w:val="auto"/>
        </w:rPr>
        <w:t xml:space="preserve"> shall mean the Uniting and Strengthening America by Providing Appropriate Tools Required to Intercept and Obstruct Terrorism Act of 2001, Public Law 107-56, as the same has been, or shall hereafter be, renewed, extended, amended or replaced.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U.S. Person</w:t>
      </w:r>
      <w:r>
        <w:rPr>
          <w:rFonts w:ascii="Arial" w:cs="Arial" w:eastAsia="Arial" w:hAnsi="Arial"/>
          <w:sz w:val="19"/>
          <w:szCs w:val="19"/>
          <w:color w:val="auto"/>
        </w:rPr>
        <w:t xml:space="preserve"> shall mean any Person that is a "United States Person" as defined in Section 7701(a)(30) of the Code.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shall have the meaning specified in Section 5.9.7 [Status of Lenders].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Withholding Agent</w:t>
      </w:r>
      <w:r>
        <w:rPr>
          <w:rFonts w:ascii="Arial" w:cs="Arial" w:eastAsia="Arial" w:hAnsi="Arial"/>
          <w:sz w:val="22"/>
          <w:szCs w:val="22"/>
          <w:color w:val="auto"/>
        </w:rPr>
        <w:t xml:space="preserve"> shall mean any Loan Party and the Administrative Agent.</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u w:val="single" w:color="auto"/>
          <w:color w:val="auto"/>
        </w:rPr>
        <w:t>Working Capital to Revolving Facility Usage Ratio</w:t>
      </w:r>
      <w:r>
        <w:rPr>
          <w:rFonts w:ascii="Arial" w:cs="Arial" w:eastAsia="Arial" w:hAnsi="Arial"/>
          <w:sz w:val="22"/>
          <w:szCs w:val="22"/>
          <w:color w:val="auto"/>
        </w:rPr>
        <w:t xml:space="preserve"> shall mean, as of any date of determination, (i) the sum of the inventory and accounts receivable of the Loan Parties (as such amounts are reported on the financial statements most recently delivered to pursuant to Section 8.3.2 [Annual Financial Statements] or Section 8.3.1 [Quarterly Financial Statements] (or, if prior to the date of the delivery of the first financial statements to be delivered pursuant to Section 8.3.2 [Annual Financial Statements] or Section 8.3.1 [Quarterly Financial Statements], the most recent financial statements referred to in Section 6.1.6(i) [Historical Statements])); to (ii) the Revolving Facility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ectPr>
          <w:pgSz w:w="11900" w:h="16838" w:orient="portrait"/>
          <w:cols w:equalWidth="0" w:num="1">
            <w:col w:w="11420"/>
          </w:cols>
          <w:pgMar w:left="240" w:top="1428" w:right="239" w:bottom="1440" w:gutter="0" w:footer="0" w:header="0"/>
        </w:sectPr>
      </w:pPr>
    </w:p>
    <w:bookmarkStart w:id="50" w:name="page51"/>
    <w:bookmarkEnd w:id="50"/>
    <w:p>
      <w:pPr>
        <w:jc w:val="both"/>
        <w:ind w:firstLine="1297"/>
        <w:spacing w:after="0" w:line="312" w:lineRule="auto"/>
        <w:rPr>
          <w:sz w:val="20"/>
          <w:szCs w:val="20"/>
          <w:color w:val="auto"/>
        </w:rPr>
      </w:pP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4" w:lineRule="exact"/>
        <w:rPr>
          <w:sz w:val="20"/>
          <w:szCs w:val="20"/>
          <w:color w:val="auto"/>
        </w:rPr>
      </w:pPr>
    </w:p>
    <w:p>
      <w:pPr>
        <w:jc w:val="both"/>
        <w:ind w:left="80" w:firstLine="648"/>
        <w:spacing w:after="0" w:line="28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xml:space="preserve">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movable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be references to Eastern Time. All certificates and other required submissions made by specified officers of any Loan Party shall be deemed for all purposes as made by such person solely in such person's capacity as such officer. All terms used herein and defined in the PPSA (in respect of Collateral located in Canada) shall have the meaning given therein unless otherwise defined herein. Without limiting the foregoing, the terms “accounts”, “chattel paper”, “goods”, “instruments”, “intangibles”, “proceeds”, “securities”, “investment property”, “document of title”, “inventory”, “equipment” and “fixtures”, as and when used in the description of Collateral located in Canada shall have the meanings given to such terms in the PPSA. To the extent the definition of any category or type of collateral is expanded by any amendment, modification or revision to the PPSA, such expanded definition will apply automatically as of the date of such amendment, modification or revision. For purposes of any Collateral located in the Province of Quebec or charged by any deed of hypothec (or any other Loan Document) and for all other purposes pursuant to which the interpretation or construction of the other Loan Documents may be subject to the laws of the Province of Quebec or a court or tribunal exercising jurisdiction in the Province of Québec, (q) “personal property” shall be deemed to include “movable property”, (r) “real property” shall be deemed to include “immovable property”, (s) “tangible property” shall be deemed to include “corporeal property”, (t) “intangible property” shall be deemed to include “incorporeal property”, (u) “security interest” and “mortgage” shall be deemed to include a “hypothec”, (v) all references to filing, registering or recording under the UCC or the PPSA shall be deemed to include publication under the Civil Code of Québec, (w) all references to “perfection” of or “perfected” Liens shall be deemed to include a reference to the “opposability” of such Liens to third parties, (x) any “right of offset”, “right of setoff” or similar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ectPr>
          <w:pgSz w:w="11900" w:h="16838" w:orient="portrait"/>
          <w:cols w:equalWidth="0" w:num="1">
            <w:col w:w="11420"/>
          </w:cols>
          <w:pgMar w:left="240" w:top="1428" w:right="239" w:bottom="1440" w:gutter="0" w:footer="0" w:header="0"/>
        </w:sectPr>
      </w:pPr>
    </w:p>
    <w:bookmarkStart w:id="51" w:name="page52"/>
    <w:bookmarkEnd w:id="51"/>
    <w:p>
      <w:pPr>
        <w:jc w:val="both"/>
        <w:spacing w:after="0" w:line="285" w:lineRule="auto"/>
        <w:rPr>
          <w:sz w:val="20"/>
          <w:szCs w:val="20"/>
          <w:color w:val="auto"/>
        </w:rPr>
      </w:pPr>
      <w:r>
        <w:rPr>
          <w:rFonts w:ascii="Arial" w:cs="Arial" w:eastAsia="Arial" w:hAnsi="Arial"/>
          <w:sz w:val="19"/>
          <w:szCs w:val="19"/>
          <w:color w:val="auto"/>
        </w:rPr>
        <w:t>shall be deemed to include a “right of compensation”, (y) “goods” shall be deemed to include “corporeal movable property” other than chattel paper, documents of title, instruments, money and securities, and (z) an “Agent” or “agent” shall be deemed to include a “mandatary and/or a hypothecary representative”. In this Agreement, (i) any term defined in this Agreement by reference to the “Uniform Commercial Code” shall also have any extended, alternative or analogous meaning given to such term in applicable Canadian Laws (including, without limitation, the Bills of Exchange Act (Canada) and the Depository Bills and Notes Act (Canada)), in all cases for the extension, preservation or betterment of the security and rights of the Agent, (ii) all references in this Agreement to “Article 8 of the Code” or “Article 8 of the Uniform Commercial Code” shall be deemed to refer also to applicable Canadian securities transfer laws (including, without limitation, the Securities Transfer Act (British Columbia) and the Securities Transfer Act (British Columbia), as applicable), (iii) all references in this Agreement to the United States Copyright Office or the United States Patent and Trademark Office shall be deemed to refer also to the Canadian Intellectual Property Office, (iv) all references in this Agreement to a financing statement, continuation statement, amendment or termination statement shall be deemed to refer also to the analogous documents used under applicable Canadian personal property security laws, (v) all references to the United States of America, or to any subdivision, department, agency or instrumentality thereof shall be deemed to refer also to Canada, or to any subdivision, department, agency or instrumentality thereof, (vi) all references to federal or state securities law of the United States shall be deemed to refer also to analogous federal and provincial securities laws in Canada, (vii) all references to “state or federal bankruptcy laws” shall be deemed to refer also to any insolvency proceeding occurring in Canada or under Canadian law.</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84"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Accounting Principles; Changes in GAAP.</w:t>
      </w:r>
      <w:r>
        <w:rPr>
          <w:rFonts w:ascii="Arial" w:cs="Arial" w:eastAsia="Arial" w:hAnsi="Arial"/>
          <w:sz w:val="19"/>
          <w:szCs w:val="19"/>
          <w:color w:val="auto"/>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All accounting or financial terms shall have the meanings ascribed to such terms by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accounting terms used in Section 8.2 [Negative Covenants] (and all defined terms used in the definition of any accounting term used in Section 8.2) shall have the meaning given to such terms (and defined terms) under GAAP as in effect on the date hereof applied on a basis consistent with those used in preparing Statements referred to in Section 6.1.6(i) [Historical Statements]. Notwithstanding the foregoing, if the Company notifies the Administrative Agent in writing that the Borrowers wish to amend any financial covenant in Section 8.2.13 [Maximum Gross Leverage Ratio], Section 8.2.14 [Minimum Consolidated Fixed Charge Coverage Ratio] or Section</w:t>
      </w:r>
    </w:p>
    <w:p>
      <w:pPr>
        <w:ind w:right="180"/>
        <w:spacing w:after="0" w:line="288" w:lineRule="auto"/>
        <w:rPr>
          <w:sz w:val="20"/>
          <w:szCs w:val="20"/>
          <w:color w:val="auto"/>
        </w:rPr>
      </w:pPr>
      <w:r>
        <w:rPr>
          <w:rFonts w:ascii="Arial" w:cs="Arial" w:eastAsia="Arial" w:hAnsi="Arial"/>
          <w:sz w:val="19"/>
          <w:szCs w:val="19"/>
          <w:color w:val="auto"/>
        </w:rPr>
        <w:t>8.2.15 [Minimum Working Capital to Revolving Facility Usage Ratio] of this Agreement, any related definition and/or the definition of the term Leverage Ratio for purposes of interest, Letter of Credit Fee and Commitment Fee determinations to eliminate the effect of any change in GAAP occurring after the Closing Date on the operation of such financial covenants and/or interest, Letter of Credit Fee or Commitment Fee determinations (or if the Administrative Agent notifies the Company, on behalf of the Borrowers, in writing that the Required Lenders wish to amend any financial covenant in Section 8.2.13 [Maximum Gross Leverage Ratio], Section 8.2.14 [Minimum Consolidated Fixed Charge Coverage Ratio] or Section 8.2.15 [Minimum Working Capital to Revolving Facility Usage Ratio], any related definition and/or the definition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- 38 -</w:t>
      </w:r>
    </w:p>
    <w:p>
      <w:pPr>
        <w:sectPr>
          <w:pgSz w:w="11900" w:h="16838" w:orient="portrait"/>
          <w:cols w:equalWidth="0" w:num="1">
            <w:col w:w="11340"/>
          </w:cols>
          <w:pgMar w:left="320" w:top="1428" w:right="239" w:bottom="1440" w:gutter="0" w:footer="0" w:header="0"/>
        </w:sectPr>
      </w:pPr>
    </w:p>
    <w:bookmarkStart w:id="52" w:name="page53"/>
    <w:bookmarkEnd w:id="52"/>
    <w:p>
      <w:pPr>
        <w:ind w:left="80" w:right="20"/>
        <w:spacing w:after="0" w:line="285" w:lineRule="auto"/>
        <w:rPr>
          <w:sz w:val="20"/>
          <w:szCs w:val="20"/>
          <w:color w:val="auto"/>
        </w:rPr>
      </w:pPr>
      <w:r>
        <w:rPr>
          <w:rFonts w:ascii="Arial" w:cs="Arial" w:eastAsia="Arial" w:hAnsi="Arial"/>
          <w:sz w:val="19"/>
          <w:szCs w:val="19"/>
          <w:color w:val="auto"/>
        </w:rPr>
        <w:t>Leverage Ratio for purposes of interest, Letter of Credit Fee and Commitment Fee determinations to eliminate the effect of any such change in GAAP), then the Administrative Agent, the Lenders and the Company, on behalf of the Borrowers,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Leverage Ratio for purposes of interest, Letter of Credit Fee and Commitment Fee determinations shall be determined on the basis of GAAP in effect immediately before the relevant change in GAAP became effective, until either such notice is withdrawn or such covenants or definitions are amended in a manner satisfactory to the Borrowers and the Required Lenders, and the Loan Parties shall provide to the Administrative Agent, when they delivers their financial statements pursuant to Section 8.3.1 [Quarterly Financial Statements] and 8.3.2 [Annual Financial Statements] of this Agreement, such reconciliation statements as shall be reasonably requested by the Administrative Agent. Notwithstanding the foregoing or anything in this Agreement to the contrary, whenever in this Agreement it is necessary to determine whether a lease is a capital lease or an operating lease, such determination shall be made on the basis of GAAP as in effect in the Statements provided pursuant to Section 6.1.6 (provided that, in light of the recent change in GAAP affecting the treatment of capital leases and operating leases, all financial statements delivered to the Administrative Agent in accordance with the terms of this Agreement shall, to the extent required by the Administrative Agent, be accompanied by a schedule showing the adjustments necessary to reconcile such financial statements with GAAP as in effect immediately prior to such accounting change).</w:t>
      </w:r>
    </w:p>
    <w:p>
      <w:pPr>
        <w:spacing w:after="0" w:line="170"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Currency Calculations.</w:t>
      </w:r>
      <w:r>
        <w:rPr>
          <w:rFonts w:ascii="Arial" w:cs="Arial" w:eastAsia="Arial" w:hAnsi="Arial"/>
          <w:sz w:val="22"/>
          <w:szCs w:val="22"/>
          <w:color w:val="auto"/>
        </w:rPr>
        <w:t xml:space="preserve"> All financial statements and Compliance Certificates shall be set forth in Dollars. For purposes of preparing the financial statements, calculating financial covenants and determining compliance with covenants expressed in Dollars, Optional Currencies shall be converted to Dollars in accordance with GAAP.</w:t>
      </w:r>
    </w:p>
    <w:p>
      <w:pPr>
        <w:spacing w:after="0" w:line="186" w:lineRule="exact"/>
        <w:rPr>
          <w:sz w:val="20"/>
          <w:szCs w:val="20"/>
          <w:color w:val="auto"/>
        </w:rPr>
      </w:pPr>
    </w:p>
    <w:p>
      <w:pPr>
        <w:ind w:left="740" w:right="3000" w:firstLine="2264"/>
        <w:spacing w:after="0" w:line="448" w:lineRule="auto"/>
        <w:tabs>
          <w:tab w:leader="none" w:pos="322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 xml:space="preserve">REVOLVING CREDIT AND SWING LOAN FACILITIES </w:t>
      </w:r>
      <w:r>
        <w:rPr>
          <w:rFonts w:ascii="Arial" w:cs="Arial" w:eastAsia="Arial" w:hAnsi="Arial"/>
          <w:sz w:val="22"/>
          <w:szCs w:val="22"/>
          <w:color w:val="auto"/>
        </w:rPr>
        <w:t xml:space="preserve">2.1 </w:t>
      </w:r>
      <w:r>
        <w:rPr>
          <w:rFonts w:ascii="Arial" w:cs="Arial" w:eastAsia="Arial" w:hAnsi="Arial"/>
          <w:sz w:val="22"/>
          <w:szCs w:val="22"/>
          <w:u w:val="single" w:color="auto"/>
          <w:color w:val="auto"/>
        </w:rPr>
        <w:t>Revolving Credit Commitments.</w:t>
      </w:r>
    </w:p>
    <w:p>
      <w:pPr>
        <w:spacing w:after="0" w:line="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xml:space="preserve">. Subject to the terms and conditions hereof and relying upon the representations and warranties herein set forth, each Lender severally agrees to make Revolving Credit Loans in either Dollars or one or more Optional Currencies to the Borrowers at any time or from time to time on or after the date hereof to the Expiration Date; provided that after giving effect to each such Loan (i) the aggregate Dollar Equivalent amount of Revolving Credit Loans from such Lender shall not exceed such Lender's Revolving Credit Commitment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such Lender's Ratable Share of the Letter of Credit Obligations and the outstanding Swing Loans, (ii) the Revolving Facility Usage shall not exceed the aggregate Revolving Credit Commitments of the Lenders, (iii) no Revolving Credit Loan to which the Base Rate Option applies shall be made in an Optional Currency and (iv) the aggregate Dollar Equivalent amount of Revolving Credit Loans made to Foreign Borrowers shall not exceed the Optional Currency Loan Sublimit. Within such limits of time and amount and subject to the other provisions of this Agreement, the Borrowers may borrow, repay and reborrow pursuant to this Section 2.1.</w:t>
      </w:r>
    </w:p>
    <w:p>
      <w:pPr>
        <w:spacing w:after="0" w:line="1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Swing Loan Commitment</w:t>
      </w:r>
      <w:r>
        <w:rPr>
          <w:rFonts w:ascii="Arial" w:cs="Arial" w:eastAsia="Arial" w:hAnsi="Arial"/>
          <w:sz w:val="22"/>
          <w:szCs w:val="22"/>
          <w:color w:val="auto"/>
        </w:rPr>
        <w:t>. Subject to the terms and conditions hereof and relying upon the representations and warranties herein set forth, and in order to facilitate loans and repayments between Settlement Dates, the Swing Loan Lender may, at its option, cancelable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ectPr>
          <w:pgSz w:w="11900" w:h="16838" w:orient="portrait"/>
          <w:cols w:equalWidth="0" w:num="1">
            <w:col w:w="11420"/>
          </w:cols>
          <w:pgMar w:left="240" w:top="1428" w:right="239" w:bottom="1440" w:gutter="0" w:footer="0" w:header="0"/>
        </w:sectPr>
      </w:pPr>
    </w:p>
    <w:bookmarkStart w:id="53" w:name="page54"/>
    <w:bookmarkEnd w:id="53"/>
    <w:p>
      <w:pPr>
        <w:jc w:val="both"/>
        <w:spacing w:after="0" w:line="295" w:lineRule="auto"/>
        <w:rPr>
          <w:sz w:val="20"/>
          <w:szCs w:val="20"/>
          <w:color w:val="auto"/>
        </w:rPr>
      </w:pPr>
      <w:r>
        <w:rPr>
          <w:rFonts w:ascii="Arial" w:cs="Arial" w:eastAsia="Arial" w:hAnsi="Arial"/>
          <w:sz w:val="19"/>
          <w:szCs w:val="19"/>
          <w:color w:val="auto"/>
        </w:rPr>
        <w:t>at any time for any reason whatsoever, make swing loans in Dollars (the "</w:t>
      </w:r>
      <w:r>
        <w:rPr>
          <w:rFonts w:ascii="Arial" w:cs="Arial" w:eastAsia="Arial" w:hAnsi="Arial"/>
          <w:sz w:val="19"/>
          <w:szCs w:val="19"/>
          <w:b w:val="1"/>
          <w:bCs w:val="1"/>
          <w:color w:val="auto"/>
        </w:rPr>
        <w:t>Swing Loans</w:t>
      </w:r>
      <w:r>
        <w:rPr>
          <w:rFonts w:ascii="Arial" w:cs="Arial" w:eastAsia="Arial" w:hAnsi="Arial"/>
          <w:sz w:val="19"/>
          <w:szCs w:val="19"/>
          <w:color w:val="auto"/>
        </w:rPr>
        <w:t>") to the Borrowers at any time or from time to time after the date hereof to, but not including, the Expiration Date, in an aggregate principal amount up to but not in excess of $15,000,000 (the "</w:t>
      </w:r>
      <w:r>
        <w:rPr>
          <w:rFonts w:ascii="Arial" w:cs="Arial" w:eastAsia="Arial" w:hAnsi="Arial"/>
          <w:sz w:val="19"/>
          <w:szCs w:val="19"/>
          <w:b w:val="1"/>
          <w:bCs w:val="1"/>
          <w:color w:val="auto"/>
        </w:rPr>
        <w:t>Swing Loan Commitment</w:t>
      </w:r>
      <w:r>
        <w:rPr>
          <w:rFonts w:ascii="Arial" w:cs="Arial" w:eastAsia="Arial" w:hAnsi="Arial"/>
          <w:sz w:val="19"/>
          <w:szCs w:val="19"/>
          <w:color w:val="auto"/>
        </w:rPr>
        <w:t>"), provided that after giving effect to each such Loan, the Revolving Facility Usage shall not exceed the Revolving Credit Commitments; and provided further that a Swing Loan shall not be made if the proceeds thereof would be used to repay, in whole or in part, any outstanding Swing Loan. Within such limits of time and amount and subject to the other provisions of this Agreement, the Borrowers may borrow, repay and reborrow pursuant to this Section 2.1.2.</w:t>
      </w:r>
    </w:p>
    <w:p>
      <w:pPr>
        <w:spacing w:after="0" w:line="15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Optional Currency Sublimit</w:t>
      </w:r>
      <w:r>
        <w:rPr>
          <w:rFonts w:ascii="Arial" w:cs="Arial" w:eastAsia="Arial" w:hAnsi="Arial"/>
          <w:sz w:val="19"/>
          <w:szCs w:val="19"/>
          <w:color w:val="auto"/>
        </w:rPr>
        <w:t>. Subject to the terms and conditions hereof and relying upon the representations and warranties herein set forth, PNC or any other Lender may, at its option, cancelable at any time for any reason whatsoever, make Revolving Credit Loans in an Optional Currency (the "</w:t>
      </w:r>
      <w:r>
        <w:rPr>
          <w:rFonts w:ascii="Arial" w:cs="Arial" w:eastAsia="Arial" w:hAnsi="Arial"/>
          <w:sz w:val="19"/>
          <w:szCs w:val="19"/>
          <w:b w:val="1"/>
          <w:bCs w:val="1"/>
          <w:color w:val="auto"/>
        </w:rPr>
        <w:t>Optional Currency Loans</w:t>
      </w:r>
      <w:r>
        <w:rPr>
          <w:rFonts w:ascii="Arial" w:cs="Arial" w:eastAsia="Arial" w:hAnsi="Arial"/>
          <w:sz w:val="19"/>
          <w:szCs w:val="19"/>
          <w:color w:val="auto"/>
        </w:rPr>
        <w:t>") to the Borrowers at any time or from time to time after the date hereof to, but not including, the Expiration Date, in an aggregate principal Dollar Equivalent amount not to exceed $25,000,000 (the "</w:t>
      </w:r>
      <w:r>
        <w:rPr>
          <w:rFonts w:ascii="Arial" w:cs="Arial" w:eastAsia="Arial" w:hAnsi="Arial"/>
          <w:sz w:val="19"/>
          <w:szCs w:val="19"/>
          <w:b w:val="1"/>
          <w:bCs w:val="1"/>
          <w:color w:val="auto"/>
        </w:rPr>
        <w:t>Optional Currency Loan Sublimit</w:t>
      </w:r>
      <w:r>
        <w:rPr>
          <w:rFonts w:ascii="Arial" w:cs="Arial" w:eastAsia="Arial" w:hAnsi="Arial"/>
          <w:sz w:val="19"/>
          <w:szCs w:val="19"/>
          <w:color w:val="auto"/>
        </w:rPr>
        <w:t>"), provided that after giving effect to each such Loan (a) the Revolving Facility Usage shall not exceed the Revolving Credit Commitments, and (b) the sum of all Optional Currency Loans shall not exceed the Optional Currency Loan Sublimit. Within such limits of time and amount and subject to the other provisions of this Agreement, the Borrowers may borrow, repay and reborrow pursuant to this Section 2.1.3.</w:t>
      </w:r>
    </w:p>
    <w:p>
      <w:pPr>
        <w:spacing w:after="0" w:line="15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Termination or Reduction of Revolving Credit Commitments</w:t>
      </w:r>
      <w:r>
        <w:rPr>
          <w:rFonts w:ascii="Arial" w:cs="Arial" w:eastAsia="Arial" w:hAnsi="Arial"/>
          <w:sz w:val="19"/>
          <w:szCs w:val="19"/>
          <w:color w:val="auto"/>
        </w:rPr>
        <w:t xml:space="preserve">. The Company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$10,000,000 or any greater multiple of $5,000,000, and shall reduce permanently the Revolving Credit Commitments then in effect. Any such reduction or termination shall be accompanied by prepayment of the Revolving Credit Notes, together with outstanding Commitment Fees, and the full amount of interest accrued on the principal sum to be prepaid (and all amounts referred to in Section 5.10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2.1.4 shall be irrevocable.</w:t>
      </w:r>
    </w:p>
    <w:p>
      <w:pPr>
        <w:spacing w:after="0" w:line="160" w:lineRule="exact"/>
        <w:rPr>
          <w:sz w:val="20"/>
          <w:szCs w:val="20"/>
          <w:color w:val="auto"/>
        </w:rPr>
      </w:pPr>
    </w:p>
    <w:p>
      <w:pPr>
        <w:ind w:left="80" w:right="100" w:firstLine="648"/>
        <w:spacing w:after="0" w:line="29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Nature of Lenders' Obligations with Respect to Revolving Credit Loans.</w:t>
      </w:r>
      <w:r>
        <w:rPr>
          <w:rFonts w:ascii="Arial" w:cs="Arial" w:eastAsia="Arial" w:hAnsi="Arial"/>
          <w:sz w:val="19"/>
          <w:szCs w:val="19"/>
          <w:color w:val="auto"/>
        </w:rPr>
        <w:t xml:space="preserve"> Each Lender shall be obligated to participate in each request for Revolving Credit Loans pursuant to Section 2.4 [Loan Requests; Swing Loan Requests] in accordance with its Ratable Share. The aggregate Dollar Equivalent of each Lender's Revolving Credit Loans outstanding hereunder to the Borrowers at any time shall never exceed its Revolving Credit Commitment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its Ratable Share of the outstanding Swing Loans, the outstanding Optional Currency Loans and Letter of Credit Obligations. The obligations of each Lender hereunder are several. The failure of any Lender to perform its obligations hereunder shall not affect the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- 40 -</w:t>
      </w:r>
    </w:p>
    <w:p>
      <w:pPr>
        <w:sectPr>
          <w:pgSz w:w="11900" w:h="16838" w:orient="portrait"/>
          <w:cols w:equalWidth="0" w:num="1">
            <w:col w:w="11420"/>
          </w:cols>
          <w:pgMar w:left="240" w:top="1422" w:right="239" w:bottom="1440" w:gutter="0" w:footer="0" w:header="0"/>
        </w:sectPr>
      </w:pPr>
    </w:p>
    <w:bookmarkStart w:id="54" w:name="page55"/>
    <w:bookmarkEnd w:id="54"/>
    <w:p>
      <w:pPr>
        <w:ind w:left="80"/>
        <w:spacing w:after="0"/>
        <w:rPr>
          <w:sz w:val="20"/>
          <w:szCs w:val="20"/>
          <w:color w:val="auto"/>
        </w:rPr>
      </w:pPr>
      <w:r>
        <w:rPr>
          <w:rFonts w:ascii="Arial" w:cs="Arial" w:eastAsia="Arial" w:hAnsi="Arial"/>
          <w:sz w:val="19"/>
          <w:szCs w:val="19"/>
          <w:color w:val="auto"/>
        </w:rPr>
        <w:t>Borrowers to any other party nor shall any other party be liable for the failure of such Lender to perform its obligations hereunder.</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Lenders shall have no obligation to make Revolving Credit Loans hereunder on or after the Expiration Date.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Commitment Fees.</w:t>
      </w:r>
      <w:r>
        <w:rPr>
          <w:rFonts w:ascii="Arial" w:cs="Arial" w:eastAsia="Arial" w:hAnsi="Arial"/>
          <w:sz w:val="21"/>
          <w:szCs w:val="21"/>
          <w:color w:val="auto"/>
        </w:rPr>
        <w:t xml:space="preserve"> Accruing from the date hereof until the Expiration Date, the Borrowers agree to pay to the</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21"/>
          <w:szCs w:val="21"/>
          <w:color w:val="auto"/>
        </w:rPr>
        <w:t>Administrative Agent for the account of each Lender according to its Ratable Share, a nonrefundable commitment fee (the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 Fee</w:t>
      </w:r>
      <w:r>
        <w:rPr>
          <w:rFonts w:ascii="Arial" w:cs="Arial" w:eastAsia="Arial" w:hAnsi="Arial"/>
          <w:sz w:val="19"/>
          <w:szCs w:val="19"/>
          <w:color w:val="auto"/>
        </w:rPr>
        <w:t>") equal to the Applicable Commitment Fee Rate (computed on the basis of a year of 365 or 366 days, as the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1"/>
          <w:szCs w:val="21"/>
          <w:color w:val="auto"/>
        </w:rPr>
        <w:t>case may be, and actual days elapsed) multiplied by the average daily difference between the amount of (i) such Lender's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9"/>
          <w:szCs w:val="19"/>
          <w:color w:val="auto"/>
        </w:rPr>
        <w:t>Revolving Credit Commitment (for purposes of this computation, PNC's Swing Loans shall be deemed to be borrowed amounts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under its Revolving Credit Commitment) and (ii) the Revolving Facility Usage;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Commitment Fee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accrued with respect to the Revolving Credit Commitment of a Defaulting Lender during the period prior to the time such Lender</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became a Defaulting Lender and unpaid at such time shall not be payable by the Borrowers so long as such Lender shall be a</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Defaulting Lender except to the extent that such Commitment Fee shall otherwise have been due and payable by the Borrowers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prior to such time;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Commitment Fee shall accrue with respect to the Revolving Commitment of a</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Defaulting Lender so long as such Lender shall be a Defaulting Lender. Subject to the proviso in the directly preceding sentence,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all Commitment Fees shall be payable in arrears on each Payment Date.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Loan Requests; Swing Loan Requests.</w:t>
      </w:r>
    </w:p>
    <w:p>
      <w:pPr>
        <w:spacing w:after="0" w:line="220"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2.4.1 </w:t>
      </w:r>
      <w:r>
        <w:rPr>
          <w:rFonts w:ascii="Arial" w:cs="Arial" w:eastAsia="Arial" w:hAnsi="Arial"/>
          <w:sz w:val="19"/>
          <w:szCs w:val="19"/>
          <w:u w:val="single" w:color="auto"/>
          <w:color w:val="auto"/>
        </w:rPr>
        <w:t>Loan Requests</w:t>
      </w:r>
      <w:r>
        <w:rPr>
          <w:rFonts w:ascii="Arial" w:cs="Arial" w:eastAsia="Arial" w:hAnsi="Arial"/>
          <w:sz w:val="19"/>
          <w:szCs w:val="19"/>
          <w:color w:val="auto"/>
        </w:rPr>
        <w:t>. Except as otherwise provided herein, the Borrower Agent, on behalf of itself or a Borrower identified in the Loan Request (as hereinafter defined), may from time to time prior to the Expiration Date request the Lenders to make Revolving Credit Loans, or renew or convert the Interest Rate Option applicable to existing Revolving Credit Loans or Term Loans pursuant to Section 4.2 [Interest Periods], by delivering to the Administrative Agent, (i) not later than 1:00 p.m., three (3) Business Days prior to the proposed Borrowing Date with respect to the making of Revolving Credit Loans in Dollars to which the Euro-Rate Option applies or the conversion to or the renewal of the Euro-Rate Option for any Loans in Dollars; (ii) not later than 1:00 p.m., four (4) Business Days prior to the proposed Borrowing Date with respect to the making of Optional Currency Loans or the date of conversion to or renewal of the Euro-Rate Option for Optional Currency Loans; and (iii) not later than 11:00 a.m., the same Business Day of the proposed Borrowing Date with respect to the making of a Revolving Credit Loan to which the Base Rate Option applies or the last day of the preceding Interest Period with respect to the conversion to the Base Rate Option for any Loan, of a duly completed request therefor substantially in the form of Exhibit 2.4.1 or a request by telephone immediately confirmed in writing by letter, facsimile or e-mail (in “pdf”, “tif” or similar format) in such form (each, a "</w:t>
      </w:r>
      <w:r>
        <w:rPr>
          <w:rFonts w:ascii="Arial" w:cs="Arial" w:eastAsia="Arial" w:hAnsi="Arial"/>
          <w:sz w:val="19"/>
          <w:szCs w:val="19"/>
          <w:b w:val="1"/>
          <w:bCs w:val="1"/>
          <w:color w:val="auto"/>
        </w:rPr>
        <w:t>Loan Request</w:t>
      </w:r>
      <w:r>
        <w:rPr>
          <w:rFonts w:ascii="Arial" w:cs="Arial" w:eastAsia="Arial" w:hAnsi="Arial"/>
          <w:sz w:val="19"/>
          <w:szCs w:val="19"/>
          <w:color w:val="auto"/>
        </w:rPr>
        <w:t>"), it being understood that the Administrative Agent may rely on the authority of any individual making such a telephonic request without the necessity of receipt of such written confirmation. Each Loan Request shall be irrevocable and shall specify (i) the aggregate amount of the proposed Loans (expressed in the currency in which such Loans shall be funded) comprising each Borrowing Tranche, and, if applicable, the Interest Period, which amount shall be in (x) integral multiples of $250,000 (or the Dollar Equivalent thereof) and not less than $1,000,000 (or the Dollar Equivalent thereof) for each Borrowing Tranche under the Euro-Rate Option, and (y) integral multiples of $100,000 and not less than $500,000 for each Borrowing Tranche under the Base Rate Option; (ii) whether the Euro-Rate Option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- 41 -</w:t>
      </w:r>
    </w:p>
    <w:p>
      <w:pPr>
        <w:sectPr>
          <w:pgSz w:w="11900" w:h="16838" w:orient="portrait"/>
          <w:cols w:equalWidth="0" w:num="1">
            <w:col w:w="11400"/>
          </w:cols>
          <w:pgMar w:left="240" w:top="1428" w:right="259" w:bottom="1440" w:gutter="0" w:footer="0" w:header="0"/>
        </w:sectPr>
      </w:pPr>
    </w:p>
    <w:bookmarkStart w:id="55" w:name="page56"/>
    <w:bookmarkEnd w:id="55"/>
    <w:p>
      <w:pPr>
        <w:ind w:right="120"/>
        <w:spacing w:after="0" w:line="263" w:lineRule="auto"/>
        <w:rPr>
          <w:sz w:val="20"/>
          <w:szCs w:val="20"/>
          <w:color w:val="auto"/>
        </w:rPr>
      </w:pPr>
      <w:r>
        <w:rPr>
          <w:rFonts w:ascii="Arial" w:cs="Arial" w:eastAsia="Arial" w:hAnsi="Arial"/>
          <w:sz w:val="21"/>
          <w:szCs w:val="21"/>
          <w:color w:val="auto"/>
        </w:rPr>
        <w:t>Base Rate Option shall apply to the proposed Revolving Credit Loans comprising the applicable Borrowing Tranche; (iii) the currency in which such Loans shall be funded if the Borrowers are electing the Euro-Rate Option; (iv) in the case of a Borrowing Tranche to which the Euro-Rate Option applies, an appropriate Interest Period for the Loans comprising such Borrowing Tranche; and (v) which Borrower is requesting the Revolving Credit Loan. No Loan made in an Optional Currency may be converted into a Base Rate Loan or a Loan denominated in a different Optional Currency.</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Notwithstanding the requirement under this Section 2.4.1 [Loan Requests] that the Borrower Agent deliver a Loan Request three (3) Business Days prior to a proposed Borrowing Date with respect to the making of Revolving Credit Loans or Term Loans to which the Euro-Rate Option applies, the Lenders agree that the Borrower Agent may deliver a Loan Request on the same Business Day as the proposed Borrowing Date Loans made on the Closing Date.</w:t>
      </w:r>
    </w:p>
    <w:p>
      <w:pPr>
        <w:spacing w:after="0" w:line="176" w:lineRule="exact"/>
        <w:rPr>
          <w:sz w:val="20"/>
          <w:szCs w:val="20"/>
          <w:color w:val="auto"/>
        </w:rPr>
      </w:pPr>
    </w:p>
    <w:p>
      <w:pPr>
        <w:ind w:right="40" w:firstLine="1297"/>
        <w:spacing w:after="0" w:line="246" w:lineRule="auto"/>
        <w:rPr>
          <w:sz w:val="20"/>
          <w:szCs w:val="20"/>
          <w:color w:val="auto"/>
        </w:rPr>
      </w:pPr>
      <w:r>
        <w:rPr>
          <w:rFonts w:ascii="Arial" w:cs="Arial" w:eastAsia="Arial" w:hAnsi="Arial"/>
          <w:sz w:val="22"/>
          <w:szCs w:val="22"/>
          <w:color w:val="auto"/>
        </w:rPr>
        <w:t xml:space="preserve">2.4.2 </w:t>
      </w:r>
      <w:r>
        <w:rPr>
          <w:rFonts w:ascii="Arial" w:cs="Arial" w:eastAsia="Arial" w:hAnsi="Arial"/>
          <w:sz w:val="22"/>
          <w:szCs w:val="22"/>
          <w:u w:val="single" w:color="auto"/>
          <w:color w:val="auto"/>
        </w:rPr>
        <w:t>Swing Loan Requests</w:t>
      </w:r>
      <w:r>
        <w:rPr>
          <w:rFonts w:ascii="Arial" w:cs="Arial" w:eastAsia="Arial" w:hAnsi="Arial"/>
          <w:sz w:val="22"/>
          <w:szCs w:val="22"/>
          <w:color w:val="auto"/>
        </w:rPr>
        <w:t xml:space="preserve">. Except as otherwise provided herein, the Borrower Agent, on behalf of itself or a Borrower identified in the Swing Loan Request (as hereinafter defined), may from time to time prior to the Expiration Date request PNC to make Swing Loans in Dollars by delivery to PNC not later than 2:00 p.m. on the proposed Borrowing Date of a duly completed request therefor substantially in the form of </w:t>
      </w:r>
      <w:r>
        <w:rPr>
          <w:rFonts w:ascii="Arial" w:cs="Arial" w:eastAsia="Arial" w:hAnsi="Arial"/>
          <w:sz w:val="22"/>
          <w:szCs w:val="22"/>
          <w:u w:val="single" w:color="auto"/>
          <w:color w:val="auto"/>
        </w:rPr>
        <w:t>Exhibit 2.4.2</w:t>
      </w:r>
      <w:r>
        <w:rPr>
          <w:rFonts w:ascii="Arial" w:cs="Arial" w:eastAsia="Arial" w:hAnsi="Arial"/>
          <w:sz w:val="22"/>
          <w:szCs w:val="22"/>
          <w:color w:val="auto"/>
        </w:rPr>
        <w:t xml:space="preserve"> hereto or a request by telephone immediately confirmed in writing by letter, facsimile or e-mail (each, a "</w:t>
      </w:r>
      <w:r>
        <w:rPr>
          <w:rFonts w:ascii="Arial" w:cs="Arial" w:eastAsia="Arial" w:hAnsi="Arial"/>
          <w:sz w:val="22"/>
          <w:szCs w:val="22"/>
          <w:b w:val="1"/>
          <w:bCs w:val="1"/>
          <w:color w:val="auto"/>
        </w:rPr>
        <w:t>Swing Loan Request</w:t>
      </w:r>
      <w:r>
        <w:rPr>
          <w:rFonts w:ascii="Arial" w:cs="Arial" w:eastAsia="Arial" w:hAnsi="Arial"/>
          <w:sz w:val="22"/>
          <w:szCs w:val="22"/>
          <w:color w:val="auto"/>
        </w:rPr>
        <w:t>"), it being understood that PNC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$100,000.</w:t>
      </w:r>
    </w:p>
    <w:p>
      <w:pPr>
        <w:spacing w:after="0" w:line="195" w:lineRule="exact"/>
        <w:rPr>
          <w:sz w:val="20"/>
          <w:szCs w:val="20"/>
          <w:color w:val="auto"/>
        </w:rPr>
      </w:pPr>
    </w:p>
    <w:p>
      <w:pPr>
        <w:ind w:left="80" w:right="840" w:firstLine="648"/>
        <w:spacing w:after="0" w:line="26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Making Revolving Credit Loans and Swing Loans; Presumptions by the Administrative Agent; Repayment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Credit Loans; Borrowings to Repay Swing Loans.</w:t>
      </w:r>
    </w:p>
    <w:p>
      <w:pPr>
        <w:spacing w:after="0" w:line="175" w:lineRule="exact"/>
        <w:rPr>
          <w:sz w:val="20"/>
          <w:szCs w:val="20"/>
          <w:color w:val="auto"/>
        </w:rPr>
      </w:pPr>
    </w:p>
    <w:p>
      <w:pPr>
        <w:ind w:right="60" w:firstLine="1297"/>
        <w:spacing w:after="0" w:line="286" w:lineRule="auto"/>
        <w:rPr>
          <w:sz w:val="20"/>
          <w:szCs w:val="20"/>
          <w:color w:val="auto"/>
        </w:rPr>
      </w:pPr>
      <w:r>
        <w:rPr>
          <w:rFonts w:ascii="Arial" w:cs="Arial" w:eastAsia="Arial" w:hAnsi="Arial"/>
          <w:sz w:val="19"/>
          <w:szCs w:val="19"/>
          <w:color w:val="auto"/>
        </w:rPr>
        <w:t xml:space="preserve">2.5.1 </w:t>
      </w:r>
      <w:r>
        <w:rPr>
          <w:rFonts w:ascii="Arial" w:cs="Arial" w:eastAsia="Arial" w:hAnsi="Arial"/>
          <w:sz w:val="19"/>
          <w:szCs w:val="19"/>
          <w:u w:val="single" w:color="auto"/>
          <w:color w:val="auto"/>
        </w:rPr>
        <w:t>Making Revolving Credit Loans</w:t>
      </w:r>
      <w:r>
        <w:rPr>
          <w:rFonts w:ascii="Arial" w:cs="Arial" w:eastAsia="Arial" w:hAnsi="Arial"/>
          <w:sz w:val="19"/>
          <w:szCs w:val="19"/>
          <w:color w:val="auto"/>
        </w:rPr>
        <w:t xml:space="preserve">. The Administrative Agent shall, promptly after receipt by it of a Loan Request pursuant to Section 2.4 [Revolving Credit Loan Requests; Swing Loan Requests], notify the Lenders of its receipt of such Loan Request specifying the information provided by the Borrowers, including the currency in which the Revolving Credit Loan is requested and the apportionment among the Lenders of the requested Revolving Credit Loans as determined by the Administrative Agent in accordance with Section 2.2 [Nature of Lenders' Obligations with Respect to Revolving Credit Loans]. Each Lender shall remit the principal amount of each Revolving Credit Loan in the requested Optional Currency (or in Dollars if so requested by the Administrative Agent) to the Administrative Agent such that the Administrative Agent is able to, and the Administrative Agent shall, to the extent the Lenders have made funds available to it for such purpose and subject to Section 7.2 [Each Loan or Letter of Credit], fund such Revolving Credit Loans to the Borrowers in immediately available funds in Dollars or the requested Optional Currency (as applicable) at the Principal Office prior to 2:00 p.m., on the applicable Borrowing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Lender fails to remit such funds to the Administrative Agent (or fails to remit such funds in the applicable Optional Currency) in a timely manner, the Administrative Agent may elect in its sole discretion to fund with its own funds, including funds in the requested Optional Currency, the Revolving Credit Loans of such Lender on such Borrowing Date, and such Lender shall be subject to the repayment obligation in Section 2.5.2 [Presumptions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- 42 -</w:t>
      </w:r>
    </w:p>
    <w:p>
      <w:pPr>
        <w:sectPr>
          <w:pgSz w:w="11900" w:h="16838" w:orient="portrait"/>
          <w:cols w:equalWidth="0" w:num="1">
            <w:col w:w="11400"/>
          </w:cols>
          <w:pgMar w:left="240" w:top="1428" w:right="259" w:bottom="1440" w:gutter="0" w:footer="0" w:header="0"/>
        </w:sectPr>
      </w:pPr>
    </w:p>
    <w:bookmarkStart w:id="56" w:name="page57"/>
    <w:bookmarkEnd w:id="56"/>
    <w:p>
      <w:pPr>
        <w:ind w:firstLine="1297"/>
        <w:spacing w:after="0" w:line="257" w:lineRule="auto"/>
        <w:rPr>
          <w:sz w:val="20"/>
          <w:szCs w:val="20"/>
          <w:color w:val="auto"/>
        </w:rPr>
      </w:pPr>
      <w:r>
        <w:rPr>
          <w:rFonts w:ascii="Arial" w:cs="Arial" w:eastAsia="Arial" w:hAnsi="Arial"/>
          <w:sz w:val="21"/>
          <w:szCs w:val="21"/>
          <w:color w:val="auto"/>
        </w:rPr>
        <w:t xml:space="preserve">2.5.2 </w:t>
      </w:r>
      <w:r>
        <w:rPr>
          <w:rFonts w:ascii="Arial" w:cs="Arial" w:eastAsia="Arial" w:hAnsi="Arial"/>
          <w:sz w:val="21"/>
          <w:szCs w:val="21"/>
          <w:u w:val="single" w:color="auto"/>
          <w:color w:val="auto"/>
        </w:rPr>
        <w:t>Presumptions by the Administrative Agent</w:t>
      </w:r>
      <w:r>
        <w:rPr>
          <w:rFonts w:ascii="Arial" w:cs="Arial" w:eastAsia="Arial" w:hAnsi="Arial"/>
          <w:sz w:val="21"/>
          <w:szCs w:val="21"/>
          <w:color w:val="auto"/>
        </w:rPr>
        <w:t>.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Section 2.5.1 [Making Revolving Credit Loans] and may, in reliance upon such assumption, make available to the Borrowers a corresponding amount. In such event, if a Lender has not in fact made its share of the applicable Loan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Borrowers, the interest rate applicable to Loans under the Base Rate Option. If such Lender pays its share of the applicable Loan to the Administrative Agent, then the amount so paid shall constitute such Lender's Loan. Any payment by the Borrowers shall be without prejudice to any claim the Borrowers may have against a Lender that shall have failed to make such payment to the Administrative Agent.</w:t>
      </w:r>
    </w:p>
    <w:p>
      <w:pPr>
        <w:spacing w:after="0" w:line="188" w:lineRule="exact"/>
        <w:rPr>
          <w:sz w:val="20"/>
          <w:szCs w:val="20"/>
          <w:color w:val="auto"/>
        </w:rPr>
      </w:pPr>
    </w:p>
    <w:p>
      <w:pPr>
        <w:ind w:right="240" w:firstLine="1297"/>
        <w:spacing w:after="0" w:line="271" w:lineRule="auto"/>
        <w:rPr>
          <w:sz w:val="20"/>
          <w:szCs w:val="20"/>
          <w:color w:val="auto"/>
        </w:rPr>
      </w:pPr>
      <w:r>
        <w:rPr>
          <w:rFonts w:ascii="Arial" w:cs="Arial" w:eastAsia="Arial" w:hAnsi="Arial"/>
          <w:sz w:val="21"/>
          <w:szCs w:val="21"/>
          <w:color w:val="auto"/>
        </w:rPr>
        <w:t xml:space="preserve">2.5.3 </w:t>
      </w:r>
      <w:r>
        <w:rPr>
          <w:rFonts w:ascii="Arial" w:cs="Arial" w:eastAsia="Arial" w:hAnsi="Arial"/>
          <w:sz w:val="21"/>
          <w:szCs w:val="21"/>
          <w:u w:val="single" w:color="auto"/>
          <w:color w:val="auto"/>
        </w:rPr>
        <w:t>Making Swing Loans</w:t>
      </w:r>
      <w:r>
        <w:rPr>
          <w:rFonts w:ascii="Arial" w:cs="Arial" w:eastAsia="Arial" w:hAnsi="Arial"/>
          <w:sz w:val="21"/>
          <w:szCs w:val="21"/>
          <w:color w:val="auto"/>
        </w:rPr>
        <w:t>. So long as PNC elects to make Swing Loans, PNC shall, after receipt by it of a Swing Loan Request pursuant to Section 2.4.2 [Swing Loan Requests] fund such Swing Loan to the Borrowers in U.S. Dollars in immediately available funds at the Principal Office prior to 4:00 p.m. on the Borrowing Date.</w:t>
      </w:r>
    </w:p>
    <w:p>
      <w:pPr>
        <w:spacing w:after="0" w:line="168" w:lineRule="exact"/>
        <w:rPr>
          <w:sz w:val="20"/>
          <w:szCs w:val="20"/>
          <w:color w:val="auto"/>
        </w:rPr>
      </w:pPr>
    </w:p>
    <w:p>
      <w:pPr>
        <w:ind w:right="320" w:firstLine="1297"/>
        <w:spacing w:after="0" w:line="248" w:lineRule="auto"/>
        <w:rPr>
          <w:sz w:val="20"/>
          <w:szCs w:val="20"/>
          <w:color w:val="auto"/>
        </w:rPr>
      </w:pPr>
      <w:r>
        <w:rPr>
          <w:rFonts w:ascii="Arial" w:cs="Arial" w:eastAsia="Arial" w:hAnsi="Arial"/>
          <w:sz w:val="22"/>
          <w:szCs w:val="22"/>
          <w:color w:val="auto"/>
        </w:rPr>
        <w:t xml:space="preserve">2.5.4 </w:t>
      </w:r>
      <w:r>
        <w:rPr>
          <w:rFonts w:ascii="Arial" w:cs="Arial" w:eastAsia="Arial" w:hAnsi="Arial"/>
          <w:sz w:val="22"/>
          <w:szCs w:val="22"/>
          <w:u w:val="single" w:color="auto"/>
          <w:color w:val="auto"/>
        </w:rPr>
        <w:t>Repayment of Revolving Credit Loans</w:t>
      </w:r>
      <w:r>
        <w:rPr>
          <w:rFonts w:ascii="Arial" w:cs="Arial" w:eastAsia="Arial" w:hAnsi="Arial"/>
          <w:sz w:val="22"/>
          <w:szCs w:val="22"/>
          <w:color w:val="auto"/>
        </w:rPr>
        <w:t>. Subject to the limitations set forth in Section 12.14 [Foreign Loan Parties] and to the extent not previously paid, the Borrowers, jointly and severally, shall repay in full the outstanding principal amount of the Revolving Credit Loans together with all outstanding interest thereon and all fees and other amounts owing under any of the Loan Documents relating thereto on the Expiration Date or upon the earlier termination of the Revolving Credit Commitments in connection with the terms of this Agreement.</w:t>
      </w:r>
    </w:p>
    <w:p>
      <w:pPr>
        <w:spacing w:after="0" w:line="192"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 xml:space="preserve">2.5.5 </w:t>
      </w:r>
      <w:r>
        <w:rPr>
          <w:rFonts w:ascii="Arial" w:cs="Arial" w:eastAsia="Arial" w:hAnsi="Arial"/>
          <w:sz w:val="19"/>
          <w:szCs w:val="19"/>
          <w:u w:val="single" w:color="auto"/>
          <w:color w:val="auto"/>
        </w:rPr>
        <w:t>Borrowings to Repay Swing Loans</w:t>
      </w:r>
      <w:r>
        <w:rPr>
          <w:rFonts w:ascii="Arial" w:cs="Arial" w:eastAsia="Arial" w:hAnsi="Arial"/>
          <w:sz w:val="19"/>
          <w:szCs w:val="19"/>
          <w:color w:val="auto"/>
        </w:rPr>
        <w:t xml:space="preserve">. PNC may, at its option, exercisable at any time for any reason whatsoever, demand repayment of the Swing Loans, and each Lender shall make a Revolving Credit Loan in an amount equal to such Lender's Ratable Share of the aggregate principal amount of the outstanding Swing Loans, </w:t>
      </w:r>
      <w:r>
        <w:rPr>
          <w:rFonts w:ascii="Arial" w:cs="Arial" w:eastAsia="Arial" w:hAnsi="Arial"/>
          <w:sz w:val="19"/>
          <w:szCs w:val="19"/>
          <w:i w:val="1"/>
          <w:iCs w:val="1"/>
          <w:color w:val="auto"/>
        </w:rPr>
        <w:t>plus</w:t>
      </w:r>
      <w:r>
        <w:rPr>
          <w:rFonts w:ascii="Arial" w:cs="Arial" w:eastAsia="Arial" w:hAnsi="Arial"/>
          <w:sz w:val="19"/>
          <w:szCs w:val="19"/>
          <w:color w:val="auto"/>
        </w:rPr>
        <w:t xml:space="preserve">, if PNC so requests, accrued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obligated in any event to make Revolving Credit Loans in excess of its Revolving Credit Commitment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its Ratable Share of Letter of Credit Obligations (to the extent applicable, calculated in Dollar Equivalents). Revolving Credit Loans made pursuant to the preceding sentence shall bear interest at the Base Rate Option and shall be deemed to have been properly requested in accordance with Section 2.4.1 [Loan Requests] without regard to any of the requirements of that provision. PNC shall provide notice to the Lenders (which may be telephonic or written notice by letter, facsimile or e-mail) that such Revolving Credit Loans are to be made under this Section 2.5.5 and of the apportionment among the Lenders, and the Lenders shall be unconditionally obligated to fund such Revolving Credit Loans (whether or not the conditions specified in Section 2.4.1 [Loan Requests] are then satisfied) by the time PNC so requests, which shall not be earlier than 3:00 p.m. on the Business Day next after the date the Lenders receive such notice from PNC.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- 43 -</w:t>
      </w:r>
    </w:p>
    <w:p>
      <w:pPr>
        <w:sectPr>
          <w:pgSz w:w="11900" w:h="16838" w:orient="portrait"/>
          <w:cols w:equalWidth="0" w:num="1">
            <w:col w:w="11420"/>
          </w:cols>
          <w:pgMar w:left="240" w:top="1428" w:right="239" w:bottom="1440" w:gutter="0" w:footer="0" w:header="0"/>
        </w:sectPr>
      </w:pPr>
    </w:p>
    <w:bookmarkStart w:id="57" w:name="page58"/>
    <w:bookmarkEnd w:id="57"/>
    <w:p>
      <w:pPr>
        <w:ind w:right="20" w:firstLine="1297"/>
        <w:spacing w:after="0" w:line="284" w:lineRule="auto"/>
        <w:rPr>
          <w:sz w:val="20"/>
          <w:szCs w:val="20"/>
          <w:color w:val="auto"/>
        </w:rPr>
      </w:pPr>
      <w:r>
        <w:rPr>
          <w:rFonts w:ascii="Arial" w:cs="Arial" w:eastAsia="Arial" w:hAnsi="Arial"/>
          <w:sz w:val="19"/>
          <w:szCs w:val="19"/>
          <w:color w:val="auto"/>
        </w:rPr>
        <w:t xml:space="preserve">2.5.6 </w:t>
      </w:r>
      <w:r>
        <w:rPr>
          <w:rFonts w:ascii="Arial" w:cs="Arial" w:eastAsia="Arial" w:hAnsi="Arial"/>
          <w:sz w:val="19"/>
          <w:szCs w:val="19"/>
          <w:u w:val="single" w:color="auto"/>
          <w:color w:val="auto"/>
        </w:rPr>
        <w:t>Swing Loans Under Cash Management Agreements</w:t>
      </w:r>
      <w:r>
        <w:rPr>
          <w:rFonts w:ascii="Arial" w:cs="Arial" w:eastAsia="Arial" w:hAnsi="Arial"/>
          <w:sz w:val="19"/>
          <w:szCs w:val="19"/>
          <w:color w:val="auto"/>
        </w:rPr>
        <w:t>. In addition to making Swing Loans pursuant to the foregoing provisions of Section 2.5.3 [Making Swing Loans], without the requirement for a specific request from the Borrowers pursuant to Section 2.4.2 [Swing Loan Requests], PNC, as the Swing Loan Lender, may make Swing Loans to the Borrowers in accordance with the provisions of the agreements between the Company and such Swing Loan Lender relating to the Company's deposit, sweep and other accounts at such Swing Loan Lender and related arrangements and agreements regarding the management and investment of the Company's cash assets as in effect from time to time (the "Cash Management Agreements") to the extent of the daily aggregate net negative balance in the Company's accounts which are subject to the provisions of the Cash Management Agreements. Swing Loans made pursuant to this Section 2.5.6 in accordance with the provisions of the Cash Management Agreements shall (i) be subject to the limitations as to aggregate amount set forth in Section 2.1.2 [Swing Loan Commitment],</w:t>
      </w:r>
    </w:p>
    <w:p>
      <w:pPr>
        <w:ind w:firstLine="8"/>
        <w:spacing w:after="0" w:line="281" w:lineRule="auto"/>
        <w:tabs>
          <w:tab w:leader="none" w:pos="318"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not be subject to the limitations as to individual amount set forth in Section 2.4.2 [Swing Loan Requests], (iii) be payable by the Borrowers, both as to principal and interest, at the rates and times set forth in the Cash Management Agreements (but in no event later than the Expiration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Borrowers in accordance with the provisions of the Cash Management Agreements, be subject to each Lender's obligation pursuant to Section 2.5.5 [Borrowings to Repay Swing Loans], and (vi) except as provided in the foregoing subsections (i) through (v), be subject to all of the terms and conditions of this Article 2. The Borrowers acknowledge and agree that each Borrower materially benefits from the arrangements made pursuant to Section 2.5.6 and the Cash Management Agreements, and each Borrower shall be jointly and severally liable, subject to</w:t>
      </w:r>
    </w:p>
    <w:p>
      <w:pPr>
        <w:spacing w:after="0" w:line="7" w:lineRule="exact"/>
        <w:rPr>
          <w:rFonts w:ascii="Arial" w:cs="Arial" w:eastAsia="Arial" w:hAnsi="Arial"/>
          <w:sz w:val="19"/>
          <w:szCs w:val="19"/>
          <w:color w:val="auto"/>
        </w:rPr>
      </w:pPr>
    </w:p>
    <w:p>
      <w:pPr>
        <w:ind w:right="500"/>
        <w:spacing w:after="0" w:line="246" w:lineRule="auto"/>
        <w:rPr>
          <w:rFonts w:ascii="Arial" w:cs="Arial" w:eastAsia="Arial" w:hAnsi="Arial"/>
          <w:sz w:val="19"/>
          <w:szCs w:val="19"/>
          <w:color w:val="auto"/>
        </w:rPr>
      </w:pPr>
      <w:r>
        <w:rPr>
          <w:rFonts w:ascii="Arial" w:cs="Arial" w:eastAsia="Arial" w:hAnsi="Arial"/>
          <w:sz w:val="22"/>
          <w:szCs w:val="22"/>
          <w:color w:val="auto"/>
        </w:rPr>
        <w:t>Section 12.14 [Foreign Loan Parties], for all Obligations, including without limitation, those arising from the operation of this Section.</w:t>
      </w:r>
    </w:p>
    <w:p>
      <w:pPr>
        <w:spacing w:after="0" w:line="193" w:lineRule="exact"/>
        <w:rPr>
          <w:sz w:val="20"/>
          <w:szCs w:val="20"/>
          <w:color w:val="auto"/>
        </w:rPr>
      </w:pPr>
    </w:p>
    <w:p>
      <w:pPr>
        <w:ind w:left="80" w:right="20" w:firstLine="648"/>
        <w:spacing w:after="0" w:line="29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Notes.</w:t>
      </w:r>
      <w:r>
        <w:rPr>
          <w:rFonts w:ascii="Arial" w:cs="Arial" w:eastAsia="Arial" w:hAnsi="Arial"/>
          <w:sz w:val="19"/>
          <w:szCs w:val="19"/>
          <w:color w:val="auto"/>
        </w:rPr>
        <w:t xml:space="preserve"> The Obligation of the Borrowers to repay the aggregate unpaid principal amount of the Revolving Credit Loans, Swing Loans and Optional Currency Loans made to it by each Lender, together with interest thereon, shall be evidenced by a revolving credit Note and a swing Note, dated the Closing Date (or, if later, the date such Lender becomes a Lender hereunder in accordance with this Agreement or the Commitment of any Lender is increased) payable to the order of such Lender in a face amount equal to the Revolving Credit Commitment or Swing Loan Commitment, as applicable, of such Lender.</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proceeds of the Loans shall be used (i) to refinance existing indebtedness for borrowed money,</w:t>
      </w:r>
    </w:p>
    <w:p>
      <w:pPr>
        <w:spacing w:after="0" w:line="56" w:lineRule="exact"/>
        <w:rPr>
          <w:sz w:val="20"/>
          <w:szCs w:val="20"/>
          <w:color w:val="auto"/>
        </w:rPr>
      </w:pPr>
    </w:p>
    <w:p>
      <w:pPr>
        <w:ind w:left="80" w:right="260" w:firstLine="9"/>
        <w:spacing w:after="0" w:line="302" w:lineRule="auto"/>
        <w:tabs>
          <w:tab w:leader="none" w:pos="398" w:val="left"/>
        </w:tabs>
        <w:numPr>
          <w:ilvl w:val="0"/>
          <w:numId w:val="26"/>
        </w:numPr>
        <w:rPr>
          <w:rFonts w:ascii="Arial" w:cs="Arial" w:eastAsia="Arial" w:hAnsi="Arial"/>
          <w:sz w:val="19"/>
          <w:szCs w:val="19"/>
          <w:color w:val="auto"/>
        </w:rPr>
      </w:pPr>
      <w:r>
        <w:rPr>
          <w:rFonts w:ascii="Arial" w:cs="Arial" w:eastAsia="Arial" w:hAnsi="Arial"/>
          <w:sz w:val="19"/>
          <w:szCs w:val="19"/>
          <w:color w:val="auto"/>
        </w:rPr>
        <w:t>to finance working capital and capital expenditures; (iii) to make Permitted Acquisitions, and (iv) for general corporate purposes including, but not limited to dividends and Company stock purchases as permitted under Section 8.2.5 [Dividends and Related Distributions] (including the payment of fees and expenses related to the foregoing permitted purposes).</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Letter of Credit Subfacility.</w:t>
      </w:r>
    </w:p>
    <w:p>
      <w:pPr>
        <w:spacing w:after="0" w:line="220" w:lineRule="exact"/>
        <w:rPr>
          <w:sz w:val="20"/>
          <w:szCs w:val="20"/>
          <w:color w:val="auto"/>
        </w:rPr>
      </w:pPr>
    </w:p>
    <w:p>
      <w:pPr>
        <w:jc w:val="both"/>
        <w:ind w:right="220" w:firstLine="1297"/>
        <w:spacing w:after="0" w:line="312" w:lineRule="auto"/>
        <w:rPr>
          <w:sz w:val="20"/>
          <w:szCs w:val="20"/>
          <w:color w:val="auto"/>
        </w:rPr>
      </w:pPr>
      <w:r>
        <w:rPr>
          <w:rFonts w:ascii="Arial" w:cs="Arial" w:eastAsia="Arial" w:hAnsi="Arial"/>
          <w:sz w:val="19"/>
          <w:szCs w:val="19"/>
          <w:color w:val="auto"/>
        </w:rPr>
        <w:t xml:space="preserve">2.8.1 </w:t>
      </w:r>
      <w:r>
        <w:rPr>
          <w:rFonts w:ascii="Arial" w:cs="Arial" w:eastAsia="Arial" w:hAnsi="Arial"/>
          <w:sz w:val="19"/>
          <w:szCs w:val="19"/>
          <w:u w:val="single" w:color="auto"/>
          <w:color w:val="auto"/>
        </w:rPr>
        <w:t>Issuance of Letters of Credit</w:t>
      </w:r>
      <w:r>
        <w:rPr>
          <w:rFonts w:ascii="Arial" w:cs="Arial" w:eastAsia="Arial" w:hAnsi="Arial"/>
          <w:sz w:val="19"/>
          <w:szCs w:val="19"/>
          <w:color w:val="auto"/>
        </w:rPr>
        <w:t>. Each of the Borrowers may at any time prior to the Expiration Date request the issuance of a standby letter of credit (a "</w:t>
      </w:r>
      <w:r>
        <w:rPr>
          <w:rFonts w:ascii="Arial" w:cs="Arial" w:eastAsia="Arial" w:hAnsi="Arial"/>
          <w:sz w:val="19"/>
          <w:szCs w:val="19"/>
          <w:b w:val="1"/>
          <w:bCs w:val="1"/>
          <w:color w:val="auto"/>
        </w:rPr>
        <w:t>Standby Letter of Credit</w:t>
      </w:r>
      <w:r>
        <w:rPr>
          <w:rFonts w:ascii="Arial" w:cs="Arial" w:eastAsia="Arial" w:hAnsi="Arial"/>
          <w:sz w:val="19"/>
          <w:szCs w:val="19"/>
          <w:color w:val="auto"/>
        </w:rPr>
        <w:t>") or Commercial Letter of Credit (each a "</w:t>
      </w:r>
      <w:r>
        <w:rPr>
          <w:rFonts w:ascii="Arial" w:cs="Arial" w:eastAsia="Arial" w:hAnsi="Arial"/>
          <w:sz w:val="19"/>
          <w:szCs w:val="19"/>
          <w:b w:val="1"/>
          <w:bCs w:val="1"/>
          <w:color w:val="auto"/>
        </w:rPr>
        <w:t>Letter of Credit</w:t>
      </w:r>
      <w:r>
        <w:rPr>
          <w:rFonts w:ascii="Arial" w:cs="Arial" w:eastAsia="Arial" w:hAnsi="Arial"/>
          <w:sz w:val="19"/>
          <w:szCs w:val="19"/>
          <w:color w:val="auto"/>
        </w:rPr>
        <w:t>") which may be denominated in either Dollars or an Optional Currency for the account of itself, another Loan Party,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- 44 -</w:t>
      </w:r>
    </w:p>
    <w:p>
      <w:pPr>
        <w:sectPr>
          <w:pgSz w:w="11900" w:h="16838" w:orient="portrait"/>
          <w:cols w:equalWidth="0" w:num="1">
            <w:col w:w="11400"/>
          </w:cols>
          <w:pgMar w:left="240" w:top="1428" w:right="259" w:bottom="1440" w:gutter="0" w:footer="0" w:header="0"/>
        </w:sectPr>
      </w:pPr>
    </w:p>
    <w:bookmarkStart w:id="58" w:name="page59"/>
    <w:bookmarkEnd w:id="58"/>
    <w:p>
      <w:pPr>
        <w:spacing w:after="0" w:line="284" w:lineRule="auto"/>
        <w:rPr>
          <w:sz w:val="20"/>
          <w:szCs w:val="20"/>
          <w:color w:val="auto"/>
        </w:rPr>
      </w:pPr>
      <w:r>
        <w:rPr>
          <w:rFonts w:ascii="Arial" w:cs="Arial" w:eastAsia="Arial" w:hAnsi="Arial"/>
          <w:sz w:val="19"/>
          <w:szCs w:val="19"/>
          <w:color w:val="auto"/>
        </w:rPr>
        <w:t>Subsidiary of a Loan Party (whether or not any such Subsidiary is a Loan Party), or the amendment or extension of an existing Letter of Credit, by delivering or having such other Loan Party deliver to the Issuing Lender (with a copy to the Administrative Agent) a completed application and agreement for letters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The Loan Parties shall authorize and direct the Issuing Lender to name a Borrower, a Loan Party or a Subsidiary of a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Administrative Agent with a copy thereof. Unless the Issuing Lender has received notice from any Lender, Administrative Agent or any Loan Party, at least one day prior to the requested date of issuance, amendment or extension of the applicable Letter of Credit, that one or more applicable conditions in Article 7 [Conditions of Lending and Issuance of Letters of Credit] is not satisfied, then, subject to the terms and conditions hereof and in reliance on the agreements of the other Lenders set forth in this Section 2.8, the Issuing Lender or any of the Issuing Lender's Affiliates will issue a Letter of Credit or agree to such amendment or extension, provided that each Letter of Credit shall: (A) have a maximum maturity of three (3) years from the date of issuance (provided that such Letter of Credit may include an automatic renewal provision which provides for an automatic renewal of such Letter of Credit for a period not longer than twelve (12) months); and (B) in no event expire later than the date which is 364 days after the Expiration Date and provided further that in no event shall: (i) the Dollar Equivalent of the Letter of Credit Obligations exceed, at any one time, $30,000,000 (the "</w:t>
      </w:r>
      <w:r>
        <w:rPr>
          <w:rFonts w:ascii="Arial" w:cs="Arial" w:eastAsia="Arial" w:hAnsi="Arial"/>
          <w:sz w:val="19"/>
          <w:szCs w:val="19"/>
          <w:b w:val="1"/>
          <w:bCs w:val="1"/>
          <w:color w:val="auto"/>
        </w:rPr>
        <w:t>Letter of Credit Sublimit</w:t>
      </w:r>
      <w:r>
        <w:rPr>
          <w:rFonts w:ascii="Arial" w:cs="Arial" w:eastAsia="Arial" w:hAnsi="Arial"/>
          <w:sz w:val="19"/>
          <w:szCs w:val="19"/>
          <w:color w:val="auto"/>
        </w:rPr>
        <w:t xml:space="preserve">"); or (ii) the Revolving Facility Usage exceed, at any one time, the Revolving Credit Commitments. Each request by the Borrowers for the issuance, amendment or extension of a Letter of Credit shall be deemed to be a representation by the Borrowers that they shall be in compliance with the preceding sentence and with Article 7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Borrowers and Administrative Agent a true and complete copy of such Letter of Credit or amendment. All letters of credit which are identified on </w:t>
      </w:r>
      <w:r>
        <w:rPr>
          <w:rFonts w:ascii="Arial" w:cs="Arial" w:eastAsia="Arial" w:hAnsi="Arial"/>
          <w:sz w:val="19"/>
          <w:szCs w:val="19"/>
          <w:u w:val="single" w:color="auto"/>
          <w:color w:val="auto"/>
        </w:rPr>
        <w:t>Schedule 2.8.1</w:t>
      </w:r>
      <w:r>
        <w:rPr>
          <w:rFonts w:ascii="Arial" w:cs="Arial" w:eastAsia="Arial" w:hAnsi="Arial"/>
          <w:sz w:val="19"/>
          <w:szCs w:val="19"/>
          <w:color w:val="auto"/>
        </w:rPr>
        <w:t xml:space="preserve"> hereto, which shall consist of all letters of credit outstanding on the Closing Date, shall be deemed to have been issued under this Agreement and shall constitute Letters of Credit, regardless of which Person is the applicant thereunder.</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Upon the request of Administrative Agent, (i) if any Issuing Lender has honored any full or partial drawing request under any Letter of Credit and such drawing has resulted in an Letter of Credit Borrowing, or (ii) if, on the Expiration Date, any Letter of Credit Obligation for any reason remains outstanding, Borrower shall, in each case, immediately Cash Collateralize the then outstanding amount of all Letter of Credit Obligations. Borrower hereby grants to Administrative Agent, for the benefit of each Issuing Lender and the Lenders, a security interest in all cash collateral pledged pursuant to this Section or otherwise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ectPr>
          <w:pgSz w:w="11900" w:h="16838" w:orient="portrait"/>
          <w:cols w:equalWidth="0" w:num="1">
            <w:col w:w="11420"/>
          </w:cols>
          <w:pgMar w:left="240" w:top="1428" w:right="239" w:bottom="1440" w:gutter="0" w:footer="0" w:header="0"/>
        </w:sectPr>
      </w:pPr>
    </w:p>
    <w:bookmarkStart w:id="59" w:name="page60"/>
    <w:bookmarkEnd w:id="59"/>
    <w:p>
      <w:pPr>
        <w:ind w:right="80" w:firstLine="1297"/>
        <w:spacing w:after="0" w:line="259" w:lineRule="auto"/>
        <w:rPr>
          <w:sz w:val="20"/>
          <w:szCs w:val="20"/>
          <w:color w:val="auto"/>
        </w:rPr>
      </w:pPr>
      <w:r>
        <w:rPr>
          <w:rFonts w:ascii="Arial" w:cs="Arial" w:eastAsia="Arial" w:hAnsi="Arial"/>
          <w:sz w:val="21"/>
          <w:szCs w:val="21"/>
          <w:color w:val="auto"/>
        </w:rPr>
        <w:t xml:space="preserve">2.8.2 </w:t>
      </w:r>
      <w:r>
        <w:rPr>
          <w:rFonts w:ascii="Arial" w:cs="Arial" w:eastAsia="Arial" w:hAnsi="Arial"/>
          <w:sz w:val="21"/>
          <w:szCs w:val="21"/>
          <w:u w:val="single" w:color="auto"/>
          <w:color w:val="auto"/>
        </w:rPr>
        <w:t>Letter of Credit Fees</w:t>
      </w:r>
      <w:r>
        <w:rPr>
          <w:rFonts w:ascii="Arial" w:cs="Arial" w:eastAsia="Arial" w:hAnsi="Arial"/>
          <w:sz w:val="21"/>
          <w:szCs w:val="21"/>
          <w:color w:val="auto"/>
        </w:rPr>
        <w:t>. The Borrowers shall pay (i) to the Administrative Agent for the ratable account of the Lenders a fee (the "</w:t>
      </w:r>
      <w:r>
        <w:rPr>
          <w:rFonts w:ascii="Arial" w:cs="Arial" w:eastAsia="Arial" w:hAnsi="Arial"/>
          <w:sz w:val="21"/>
          <w:szCs w:val="21"/>
          <w:b w:val="1"/>
          <w:bCs w:val="1"/>
          <w:color w:val="auto"/>
        </w:rPr>
        <w:t>Letter of Credit Fee</w:t>
      </w:r>
      <w:r>
        <w:rPr>
          <w:rFonts w:ascii="Arial" w:cs="Arial" w:eastAsia="Arial" w:hAnsi="Arial"/>
          <w:sz w:val="21"/>
          <w:szCs w:val="21"/>
          <w:color w:val="auto"/>
        </w:rPr>
        <w:t>") equal to the Applicable Letter of Credit Fee Rate, and (ii) to the Issuing Lender for its own account a fronting fee equal to 0.125% per annum (in each case computed on the basis of a year of 360 days and actual days elapsed), which fees shall be computed on the Dollar Equivalent of the daily average Letter of Credit Obligations and shall be payable quarterly in arrears on each Payment Date following issuance of each Letter of Credit. The Borrowers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18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 xml:space="preserve">2.8.3 </w:t>
      </w:r>
      <w:r>
        <w:rPr>
          <w:rFonts w:ascii="Arial" w:cs="Arial" w:eastAsia="Arial" w:hAnsi="Arial"/>
          <w:sz w:val="19"/>
          <w:szCs w:val="19"/>
          <w:u w:val="single" w:color="auto"/>
          <w:color w:val="auto"/>
        </w:rPr>
        <w:t>Disbursements, Reimbursement</w:t>
      </w:r>
      <w:r>
        <w:rPr>
          <w:rFonts w:ascii="Arial" w:cs="Arial" w:eastAsia="Arial" w:hAnsi="Arial"/>
          <w:sz w:val="19"/>
          <w:szCs w:val="19"/>
          <w:color w:val="auto"/>
        </w:rPr>
        <w:t>. Immediately upon the issuance of each Letter of Credit, each Lender shall be deemed to, and hereby irrevocably and unconditionally agrees to, purchase from the Issuing Lender a participation in such Letter of Credit and each drawing thereunder in a Dollar Equivalent amount equal to such Lender's Ratable Share of the maximum amount available to be drawn under such Letter of Credit and the amount of such drawing, respectively.</w:t>
      </w:r>
    </w:p>
    <w:p>
      <w:pPr>
        <w:spacing w:after="0" w:line="143"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9"/>
          <w:szCs w:val="19"/>
          <w:color w:val="auto"/>
        </w:rPr>
        <w:t>2.8.3.1 In the event of any request for a drawing under a Letter of Credit by the beneficiary or transferee thereof, the Issuing Lender will promptly notify the Borrowers and the Administrative Agent thereof. Provided that it shall have received such notice, the Borrowers shall reimburse (such obligation to reimburse the Issuing Lender shall sometimes be referred to as a "</w:t>
      </w:r>
      <w:r>
        <w:rPr>
          <w:rFonts w:ascii="Arial" w:cs="Arial" w:eastAsia="Arial" w:hAnsi="Arial"/>
          <w:sz w:val="19"/>
          <w:szCs w:val="19"/>
          <w:b w:val="1"/>
          <w:bCs w:val="1"/>
          <w:color w:val="auto"/>
        </w:rPr>
        <w:t>Reimbursement Obligation</w:t>
      </w:r>
      <w:r>
        <w:rPr>
          <w:rFonts w:ascii="Arial" w:cs="Arial" w:eastAsia="Arial" w:hAnsi="Arial"/>
          <w:sz w:val="19"/>
          <w:szCs w:val="19"/>
          <w:color w:val="auto"/>
        </w:rPr>
        <w:t>") the Issuing Lender prior to 12:00 p.m. on each date that an amount is paid by the Issuing Lender under any Letter of Credit (each such date, a "</w:t>
      </w:r>
      <w:r>
        <w:rPr>
          <w:rFonts w:ascii="Arial" w:cs="Arial" w:eastAsia="Arial" w:hAnsi="Arial"/>
          <w:sz w:val="19"/>
          <w:szCs w:val="19"/>
          <w:b w:val="1"/>
          <w:bCs w:val="1"/>
          <w:color w:val="auto"/>
        </w:rPr>
        <w:t>Drawing Date</w:t>
      </w:r>
      <w:r>
        <w:rPr>
          <w:rFonts w:ascii="Arial" w:cs="Arial" w:eastAsia="Arial" w:hAnsi="Arial"/>
          <w:sz w:val="19"/>
          <w:szCs w:val="19"/>
          <w:color w:val="auto"/>
        </w:rPr>
        <w:t>") by paying to the Administrative Agent for the account of the Issuing Lender an amount equal to the amount so paid by the Issuing Lender, in the same currency as paid, unless otherwise required by the Administrative Agent or the Issuing Lender. In the event the Borrowers fail to reimburse the Issuing Lender (either directly or through the Administrative Agent) for the full amount of any drawing under any Letter of Credit by 12:00 p.m. on the Drawing Date, the Administrative Agent will promptly notify each Lender thereof, and the Borrowers shall be deemed to have requested that Revolving Credit Loans be made in a Dollar Equivalent amount of such Reimbursement Obligations by the Lenders under the Base Rate Option to be disbursed on the Drawing Date under such Letter of Credit, subject to the amount of the unutilized portion of the Revolving Credit Commitment and subject to the conditions set forth in Section 7.2 [Each Loan or Letter of Credit] other than any notice requirements. Any notice given by the Administrative Agent or Issuing Lender pursuant to this Section 2.8.3.1 may be oral if immediately confirmed in writing; provided that the lack of such an immediate confirmation shall not affect the conclusiveness or binding effect of such notice.</w:t>
      </w:r>
    </w:p>
    <w:p>
      <w:pPr>
        <w:spacing w:after="0" w:line="200" w:lineRule="exact"/>
        <w:rPr>
          <w:sz w:val="20"/>
          <w:szCs w:val="20"/>
          <w:color w:val="auto"/>
        </w:rPr>
      </w:pPr>
    </w:p>
    <w:p>
      <w:pPr>
        <w:spacing w:after="0" w:line="220"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2.8.3.2 Each Lender shall upon any notice pursuant to Section 2.8.3.1 make available to the Administrative Agent for the account of the Issuing Lender an amount in Dollars in immediately available funds equal to its Ratable Share of the Dollar Equivalent amount of the drawing, whereupon the Lenders shall (subject to Section 2.8.3 [Disbursement; Reimbursement]) each be deemed to have made a Revolving Credit Loan in Dollars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ectPr>
          <w:pgSz w:w="11900" w:h="16838" w:orient="portrait"/>
          <w:cols w:equalWidth="0" w:num="1">
            <w:col w:w="11420"/>
          </w:cols>
          <w:pgMar w:left="240" w:top="1428" w:right="2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9"/>
          <w:szCs w:val="19"/>
          <w:color w:val="auto"/>
        </w:rPr>
        <w:t>Base Rate Option to the Borrowers in that amount. If any Lender so notified fails to make available to the Administrative Agent for the account of the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Federal Funds Effective Rate during the first three (3) days following the Drawing Date and (ii) at a rate per annum equal to the rate applicable to Loans under the Revolving Credit Base Rate Option on and after the fourth day following the Drawing Date. The failure of any Lender to make available to the Administrative Agent for the account of the Issuing Lender its Ratable Share of the Dollar Equivalent amount of the drawing shall not relieve any other Lender of its obligation hereunder to make available to the Administrative Agent for the account of the Issuing Lender its Ratable Share of the Dollar Equivalent amount of the drawing; provided that no Lender shall be responsible for the failure of any other Lender to make available to the Administrative Agent its Ratable Share of the Dollar Equivalent amount of the drawing. The Administrative Agent and the Issuing Lender will promptly give notice (as described in Section 2.8.3.1 above) of the occurrence of the Drawing Date, but failure of the Administrative Agent or the Issuing Lender to give any such notice on the Drawing Date or in sufficient time to enable any Lender to effect such payment on such Drawing Date shall not relieve such Lender from its obligation under this Section 2.8.3.2.</w:t>
      </w:r>
    </w:p>
    <w:p>
      <w:pPr>
        <w:spacing w:after="0" w:line="200" w:lineRule="exact"/>
        <w:rPr>
          <w:sz w:val="20"/>
          <w:szCs w:val="20"/>
          <w:color w:val="auto"/>
        </w:rPr>
      </w:pPr>
    </w:p>
    <w:p>
      <w:pPr>
        <w:spacing w:after="0" w:line="224"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21"/>
          <w:szCs w:val="21"/>
          <w:color w:val="auto"/>
        </w:rPr>
        <w:t>2.8.3.3 With respect to any unreimbursed drawing that is not converted into Revolving Credit Loans in Dollars under the Base Rate Option to the Borrowers in whole or in part as contemplated by Section 2.8.3.1, because of the Borrowers' failure to satisfy the conditions set forth in Section 7.2 [Each Loan or Letter of Credit] other than any notice requirements, or for any other reason, the Borrowers shall be deemed to have incurred from the Issuing Lender a borrowing (each a "</w:t>
      </w:r>
      <w:r>
        <w:rPr>
          <w:rFonts w:ascii="Arial" w:cs="Arial" w:eastAsia="Arial" w:hAnsi="Arial"/>
          <w:sz w:val="21"/>
          <w:szCs w:val="21"/>
          <w:b w:val="1"/>
          <w:bCs w:val="1"/>
          <w:color w:val="auto"/>
        </w:rPr>
        <w:t>Letter of Credit Borrowing</w:t>
      </w:r>
      <w:r>
        <w:rPr>
          <w:rFonts w:ascii="Arial" w:cs="Arial" w:eastAsia="Arial" w:hAnsi="Arial"/>
          <w:sz w:val="21"/>
          <w:szCs w:val="21"/>
          <w:color w:val="auto"/>
        </w:rPr>
        <w:t>") in Dollars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Section 2.8.3 [Disbursements, Reimbursement] shall be deemed to be a payment in respect of its participation in such Letter of Credit Borrowing (each a "</w:t>
      </w:r>
      <w:r>
        <w:rPr>
          <w:rFonts w:ascii="Arial" w:cs="Arial" w:eastAsia="Arial" w:hAnsi="Arial"/>
          <w:sz w:val="21"/>
          <w:szCs w:val="21"/>
          <w:b w:val="1"/>
          <w:bCs w:val="1"/>
          <w:color w:val="auto"/>
        </w:rPr>
        <w:t>Participation Advance</w:t>
      </w:r>
      <w:r>
        <w:rPr>
          <w:rFonts w:ascii="Arial" w:cs="Arial" w:eastAsia="Arial" w:hAnsi="Arial"/>
          <w:sz w:val="21"/>
          <w:szCs w:val="21"/>
          <w:color w:val="auto"/>
        </w:rPr>
        <w:t>") from such Lender in satisfaction of its participation obligation under this Section 2.8.3.</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2.8.4 </w:t>
      </w:r>
      <w:r>
        <w:rPr>
          <w:rFonts w:ascii="Arial" w:cs="Arial" w:eastAsia="Arial" w:hAnsi="Arial"/>
          <w:sz w:val="22"/>
          <w:szCs w:val="22"/>
          <w:u w:val="single" w:color="auto"/>
          <w:color w:val="auto"/>
        </w:rPr>
        <w:t>Repayment of Participation Advances</w:t>
      </w:r>
      <w:r>
        <w:rPr>
          <w:rFonts w:ascii="Arial" w:cs="Arial" w:eastAsia="Arial" w:hAnsi="Arial"/>
          <w:sz w:val="22"/>
          <w:szCs w:val="22"/>
          <w:color w:val="auto"/>
        </w:rPr>
        <w:t>.</w:t>
      </w:r>
    </w:p>
    <w:p>
      <w:pPr>
        <w:spacing w:after="0" w:line="220" w:lineRule="exact"/>
        <w:rPr>
          <w:sz w:val="20"/>
          <w:szCs w:val="20"/>
          <w:color w:val="auto"/>
        </w:rPr>
      </w:pPr>
    </w:p>
    <w:p>
      <w:pPr>
        <w:jc w:val="both"/>
        <w:ind w:firstLine="1945"/>
        <w:spacing w:after="0" w:line="246" w:lineRule="auto"/>
        <w:rPr>
          <w:sz w:val="20"/>
          <w:szCs w:val="20"/>
          <w:color w:val="auto"/>
        </w:rPr>
      </w:pPr>
      <w:r>
        <w:rPr>
          <w:rFonts w:ascii="Arial" w:cs="Arial" w:eastAsia="Arial" w:hAnsi="Arial"/>
          <w:sz w:val="22"/>
          <w:szCs w:val="22"/>
          <w:color w:val="auto"/>
        </w:rPr>
        <w:t>2.8.4.1 Upon (and only upon) receipt by the Administrative Agent for the account of the Issuing Lender of immediately available funds from the Borrowers (i) in 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ectPr>
          <w:pgSz w:w="11900" w:h="16838" w:orient="portrait"/>
          <w:cols w:equalWidth="0" w:num="1">
            <w:col w:w="11420"/>
          </w:cols>
          <w:pgMar w:left="240" w:top="1428" w:right="239" w:bottom="1440" w:gutter="0" w:footer="0" w:header="0"/>
        </w:sectPr>
      </w:pPr>
    </w:p>
    <w:bookmarkStart w:id="61" w:name="page62"/>
    <w:bookmarkEnd w:id="61"/>
    <w:p>
      <w:pPr>
        <w:jc w:val="both"/>
        <w:ind w:firstLine="1945"/>
        <w:spacing w:after="0" w:line="259" w:lineRule="auto"/>
        <w:rPr>
          <w:sz w:val="20"/>
          <w:szCs w:val="20"/>
          <w:color w:val="auto"/>
        </w:rPr>
      </w:pPr>
      <w:r>
        <w:rPr>
          <w:rFonts w:ascii="Arial" w:cs="Arial" w:eastAsia="Arial" w:hAnsi="Arial"/>
          <w:sz w:val="21"/>
          <w:szCs w:val="21"/>
          <w:color w:val="auto"/>
        </w:rPr>
        <w:t xml:space="preserve">2.8.4.2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the Letter of Credit or interest or fee thereon, each Lender shall, on demand of the Administrative Agent, forthwith return to the Administrative Agent for the account of the Issuing Lender the amount of its Ratable Share of any amounts so returned by the Administrative Agent </w:t>
      </w:r>
      <w:r>
        <w:rPr>
          <w:rFonts w:ascii="Arial" w:cs="Arial" w:eastAsia="Arial" w:hAnsi="Arial"/>
          <w:sz w:val="21"/>
          <w:szCs w:val="21"/>
          <w:i w:val="1"/>
          <w:iCs w:val="1"/>
          <w:color w:val="auto"/>
        </w:rPr>
        <w:t>plus</w:t>
      </w:r>
      <w:r>
        <w:rPr>
          <w:rFonts w:ascii="Arial" w:cs="Arial" w:eastAsia="Arial" w:hAnsi="Arial"/>
          <w:sz w:val="21"/>
          <w:szCs w:val="21"/>
          <w:color w:val="auto"/>
        </w:rPr>
        <w:t xml:space="preserve"> interest thereon from the date such demand is made to the date such amounts are returned by such Lender to the Administrative Agent, at a rate per annum equal to the Federal Funds Effective Rate (or, for any payment in an Optional Currency, the Overnight Rate) in effect from time to time.</w:t>
      </w:r>
    </w:p>
    <w:p>
      <w:pPr>
        <w:spacing w:after="0" w:line="184"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auto"/>
        </w:rPr>
        <w:t xml:space="preserve">2.8.5 </w:t>
      </w:r>
      <w:r>
        <w:rPr>
          <w:rFonts w:ascii="Arial" w:cs="Arial" w:eastAsia="Arial" w:hAnsi="Arial"/>
          <w:sz w:val="22"/>
          <w:szCs w:val="22"/>
          <w:u w:val="single" w:color="auto"/>
          <w:color w:val="auto"/>
        </w:rPr>
        <w:t>Documentation</w:t>
      </w:r>
      <w:r>
        <w:rPr>
          <w:rFonts w:ascii="Arial" w:cs="Arial" w:eastAsia="Arial" w:hAnsi="Arial"/>
          <w:sz w:val="22"/>
          <w:szCs w:val="22"/>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197"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2"/>
          <w:szCs w:val="22"/>
          <w:color w:val="auto"/>
        </w:rPr>
        <w:t xml:space="preserve">2.8.6 </w:t>
      </w:r>
      <w:r>
        <w:rPr>
          <w:rFonts w:ascii="Arial" w:cs="Arial" w:eastAsia="Arial" w:hAnsi="Arial"/>
          <w:sz w:val="22"/>
          <w:szCs w:val="22"/>
          <w:u w:val="single" w:color="auto"/>
          <w:color w:val="auto"/>
        </w:rPr>
        <w:t>Determinations to Honor Drawing Requests</w:t>
      </w:r>
      <w:r>
        <w:rPr>
          <w:rFonts w:ascii="Arial" w:cs="Arial" w:eastAsia="Arial" w:hAnsi="Arial"/>
          <w:sz w:val="22"/>
          <w:szCs w:val="22"/>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88" w:lineRule="exact"/>
        <w:rPr>
          <w:sz w:val="20"/>
          <w:szCs w:val="20"/>
          <w:color w:val="auto"/>
        </w:rPr>
      </w:pPr>
    </w:p>
    <w:p>
      <w:pPr>
        <w:ind w:right="280" w:firstLine="1297"/>
        <w:spacing w:after="0" w:line="261" w:lineRule="auto"/>
        <w:rPr>
          <w:sz w:val="20"/>
          <w:szCs w:val="20"/>
          <w:color w:val="auto"/>
        </w:rPr>
      </w:pPr>
      <w:r>
        <w:rPr>
          <w:rFonts w:ascii="Arial" w:cs="Arial" w:eastAsia="Arial" w:hAnsi="Arial"/>
          <w:sz w:val="21"/>
          <w:szCs w:val="21"/>
          <w:color w:val="auto"/>
        </w:rPr>
        <w:t xml:space="preserve">2.8.7 </w:t>
      </w:r>
      <w:r>
        <w:rPr>
          <w:rFonts w:ascii="Arial" w:cs="Arial" w:eastAsia="Arial" w:hAnsi="Arial"/>
          <w:sz w:val="21"/>
          <w:szCs w:val="21"/>
          <w:u w:val="single" w:color="auto"/>
          <w:color w:val="auto"/>
        </w:rPr>
        <w:t>Nature of Participation and Reimbursement Obligations</w:t>
      </w:r>
      <w:r>
        <w:rPr>
          <w:rFonts w:ascii="Arial" w:cs="Arial" w:eastAsia="Arial" w:hAnsi="Arial"/>
          <w:sz w:val="21"/>
          <w:szCs w:val="21"/>
          <w:color w:val="auto"/>
        </w:rPr>
        <w:t>. Each Lender's obligation in accordance with this Agreement to make the Revolving Credit Loans or Participation Advances, as contemplated by Section 2.8.3 [Disbursements, Reimbursement], as a result of a drawing under a Letter of Credit issued in accordance with the terms of this Agreement, and the Obligations of the Borrowers to reimburse the Issuing Lender upon a draw under such Letter of Credit, shall be absolute, unconditional and irrevocable, and shall be performed strictly in accordance with the terms of this Section 2.8 under all circumstances, including the following circumstances:</w:t>
      </w:r>
    </w:p>
    <w:p>
      <w:pPr>
        <w:spacing w:after="0" w:line="180" w:lineRule="exact"/>
        <w:rPr>
          <w:sz w:val="20"/>
          <w:szCs w:val="20"/>
          <w:color w:val="auto"/>
        </w:rPr>
      </w:pPr>
    </w:p>
    <w:p>
      <w:pPr>
        <w:jc w:val="both"/>
        <w:ind w:firstLine="1953"/>
        <w:spacing w:after="0" w:line="312" w:lineRule="auto"/>
        <w:tabs>
          <w:tab w:leader="none" w:pos="221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set-off, counterclaim, recoupment, defense or other right which such Lender may have against the Issuing Lender or any of its Affiliates, the Borrowers or any other Person for any reason whatsoever, or which any Loan Party may have against the Issuing Lender or any of its Affiliates, any Lender or any other Person for any reason whatsoever;</w:t>
      </w:r>
    </w:p>
    <w:p>
      <w:pPr>
        <w:spacing w:after="0" w:line="133" w:lineRule="exact"/>
        <w:rPr>
          <w:rFonts w:ascii="Arial" w:cs="Arial" w:eastAsia="Arial" w:hAnsi="Arial"/>
          <w:sz w:val="19"/>
          <w:szCs w:val="19"/>
          <w:color w:val="auto"/>
        </w:rPr>
      </w:pPr>
    </w:p>
    <w:p>
      <w:pPr>
        <w:jc w:val="both"/>
        <w:ind w:firstLine="1953"/>
        <w:spacing w:after="0" w:line="248" w:lineRule="auto"/>
        <w:tabs>
          <w:tab w:leader="none" w:pos="229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failure of any Loan Party or any other Person to comply, in connection with a Letter of Credit Borrowing, with the conditions set forth in Sections 2.1 [Revolving Credit Commitments], 2.4 [Revolving Credit Loan Requests; Swing Loan Requests], 2.5 [Making Revolving Credit Loans and Swing Loans; Etc.] or 7.2 [Each Loan or Letter of Credit] or as otherwise set forth in this Agreement for the making of a Revolving Credit Loan, it being acknowledged that such conditions are not required for the making of a Letter of Credit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8" w:lineRule="exact"/>
        <w:rPr>
          <w:rFonts w:ascii="Arial" w:cs="Arial" w:eastAsia="Arial" w:hAnsi="Arial"/>
          <w:sz w:val="22"/>
          <w:szCs w:val="22"/>
          <w:color w:val="auto"/>
        </w:rPr>
      </w:pPr>
    </w:p>
    <w:p>
      <w:pPr>
        <w:ind w:left="5600" w:hanging="120"/>
        <w:spacing w:after="0"/>
        <w:tabs>
          <w:tab w:leader="none" w:pos="56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48 -</w:t>
      </w:r>
    </w:p>
    <w:p>
      <w:pPr>
        <w:sectPr>
          <w:pgSz w:w="11900" w:h="16838" w:orient="portrait"/>
          <w:cols w:equalWidth="0" w:num="1">
            <w:col w:w="11420"/>
          </w:cols>
          <w:pgMar w:left="240" w:top="1428" w:right="239" w:bottom="1440" w:gutter="0" w:footer="0" w:header="0"/>
        </w:sectPr>
      </w:pPr>
    </w:p>
    <w:bookmarkStart w:id="62" w:name="page63"/>
    <w:bookmarkEnd w:id="62"/>
    <w:p>
      <w:pPr>
        <w:ind w:right="20"/>
        <w:spacing w:after="0" w:line="263" w:lineRule="auto"/>
        <w:rPr>
          <w:sz w:val="20"/>
          <w:szCs w:val="20"/>
          <w:color w:val="auto"/>
        </w:rPr>
      </w:pPr>
      <w:r>
        <w:rPr>
          <w:rFonts w:ascii="Arial" w:cs="Arial" w:eastAsia="Arial" w:hAnsi="Arial"/>
          <w:sz w:val="22"/>
          <w:szCs w:val="22"/>
          <w:color w:val="auto"/>
        </w:rPr>
        <w:t>Borrowing and the obligation of the Lenders to make Participation Advances under Section 2.8.3 [Disbursements, Reimbursement];</w:t>
      </w:r>
    </w:p>
    <w:p>
      <w:pPr>
        <w:spacing w:after="0" w:line="175" w:lineRule="exact"/>
        <w:rPr>
          <w:sz w:val="20"/>
          <w:szCs w:val="20"/>
          <w:color w:val="auto"/>
        </w:rPr>
      </w:pPr>
    </w:p>
    <w:p>
      <w:pPr>
        <w:ind w:left="2340" w:hanging="387"/>
        <w:spacing w:after="0"/>
        <w:tabs>
          <w:tab w:leader="none" w:pos="23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lack of validity or enforceability of any Letter of Credit;</w:t>
      </w:r>
    </w:p>
    <w:p>
      <w:pPr>
        <w:spacing w:after="0" w:line="219" w:lineRule="exact"/>
        <w:rPr>
          <w:rFonts w:ascii="Arial" w:cs="Arial" w:eastAsia="Arial" w:hAnsi="Arial"/>
          <w:sz w:val="22"/>
          <w:szCs w:val="22"/>
          <w:color w:val="auto"/>
        </w:rPr>
      </w:pPr>
    </w:p>
    <w:p>
      <w:pPr>
        <w:jc w:val="both"/>
        <w:ind w:firstLine="1953"/>
        <w:spacing w:after="0" w:line="260" w:lineRule="auto"/>
        <w:tabs>
          <w:tab w:leader="none" w:pos="2338" w:val="left"/>
        </w:tabs>
        <w:numPr>
          <w:ilvl w:val="0"/>
          <w:numId w:val="28"/>
        </w:numPr>
        <w:rPr>
          <w:rFonts w:ascii="Arial" w:cs="Arial" w:eastAsia="Arial" w:hAnsi="Arial"/>
          <w:sz w:val="21"/>
          <w:szCs w:val="21"/>
          <w:color w:val="auto"/>
        </w:rPr>
      </w:pPr>
      <w:r>
        <w:rPr>
          <w:rFonts w:ascii="Arial" w:cs="Arial" w:eastAsia="Arial" w:hAnsi="Arial"/>
          <w:sz w:val="21"/>
          <w:szCs w:val="21"/>
          <w:color w:val="auto"/>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81" w:lineRule="exact"/>
        <w:rPr>
          <w:rFonts w:ascii="Arial" w:cs="Arial" w:eastAsia="Arial" w:hAnsi="Arial"/>
          <w:sz w:val="21"/>
          <w:szCs w:val="21"/>
          <w:color w:val="auto"/>
        </w:rPr>
      </w:pPr>
    </w:p>
    <w:p>
      <w:pPr>
        <w:jc w:val="both"/>
        <w:ind w:firstLine="1953"/>
        <w:spacing w:after="0" w:line="248" w:lineRule="auto"/>
        <w:tabs>
          <w:tab w:leader="none" w:pos="230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92" w:lineRule="exact"/>
        <w:rPr>
          <w:rFonts w:ascii="Arial" w:cs="Arial" w:eastAsia="Arial" w:hAnsi="Arial"/>
          <w:sz w:val="22"/>
          <w:szCs w:val="22"/>
          <w:color w:val="auto"/>
        </w:rPr>
      </w:pPr>
    </w:p>
    <w:p>
      <w:pPr>
        <w:ind w:right="20" w:firstLine="1953"/>
        <w:spacing w:after="0" w:line="343" w:lineRule="auto"/>
        <w:tabs>
          <w:tab w:leader="none" w:pos="2311" w:val="left"/>
        </w:tabs>
        <w:numPr>
          <w:ilvl w:val="0"/>
          <w:numId w:val="28"/>
        </w:numPr>
        <w:rPr>
          <w:rFonts w:ascii="Arial" w:cs="Arial" w:eastAsia="Arial" w:hAnsi="Arial"/>
          <w:sz w:val="19"/>
          <w:szCs w:val="19"/>
          <w:color w:val="auto"/>
        </w:rPr>
      </w:pPr>
      <w:r>
        <w:rPr>
          <w:rFonts w:ascii="Arial" w:cs="Arial" w:eastAsia="Arial" w:hAnsi="Arial"/>
          <w:sz w:val="19"/>
          <w:szCs w:val="19"/>
          <w:color w:val="auto"/>
        </w:rPr>
        <w:t>payment by the Issuing Lender or any of its Affiliates under any Letter of Credit against presentation of a demand, draft or certificate or other document which does not comply with the terms of such Letter of Credit;</w:t>
      </w:r>
    </w:p>
    <w:p>
      <w:pPr>
        <w:spacing w:after="0" w:line="104" w:lineRule="exact"/>
        <w:rPr>
          <w:rFonts w:ascii="Arial" w:cs="Arial" w:eastAsia="Arial" w:hAnsi="Arial"/>
          <w:sz w:val="19"/>
          <w:szCs w:val="19"/>
          <w:color w:val="auto"/>
        </w:rPr>
      </w:pPr>
    </w:p>
    <w:p>
      <w:pPr>
        <w:jc w:val="both"/>
        <w:ind w:firstLine="1953"/>
        <w:spacing w:after="0" w:line="253" w:lineRule="auto"/>
        <w:tabs>
          <w:tab w:leader="none" w:pos="2371"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85" w:lineRule="exact"/>
        <w:rPr>
          <w:rFonts w:ascii="Arial" w:cs="Arial" w:eastAsia="Arial" w:hAnsi="Arial"/>
          <w:sz w:val="22"/>
          <w:szCs w:val="22"/>
          <w:color w:val="auto"/>
        </w:rPr>
      </w:pPr>
    </w:p>
    <w:p>
      <w:pPr>
        <w:jc w:val="both"/>
        <w:ind w:firstLine="1953"/>
        <w:spacing w:after="0" w:line="302" w:lineRule="auto"/>
        <w:tabs>
          <w:tab w:leader="none" w:pos="245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spacing w:after="0" w:line="142" w:lineRule="exact"/>
        <w:rPr>
          <w:rFonts w:ascii="Arial" w:cs="Arial" w:eastAsia="Arial" w:hAnsi="Arial"/>
          <w:sz w:val="19"/>
          <w:szCs w:val="19"/>
          <w:color w:val="auto"/>
        </w:rPr>
      </w:pPr>
    </w:p>
    <w:p>
      <w:pPr>
        <w:ind w:firstLine="1953"/>
        <w:spacing w:after="0" w:line="263" w:lineRule="auto"/>
        <w:tabs>
          <w:tab w:leader="none" w:pos="232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adverse change in the business, operations, properties, assets, condition (financial or otherwise) or prospects of any Loan Party or Subsidiaries of a Loan Party;</w:t>
      </w:r>
    </w:p>
    <w:p>
      <w:pPr>
        <w:spacing w:after="0" w:line="174" w:lineRule="exact"/>
        <w:rPr>
          <w:rFonts w:ascii="Arial" w:cs="Arial" w:eastAsia="Arial" w:hAnsi="Arial"/>
          <w:sz w:val="22"/>
          <w:szCs w:val="22"/>
          <w:color w:val="auto"/>
        </w:rPr>
      </w:pPr>
    </w:p>
    <w:p>
      <w:pPr>
        <w:ind w:left="2260" w:hanging="307"/>
        <w:spacing w:after="0"/>
        <w:tabs>
          <w:tab w:leader="none" w:pos="2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breach of this Agreement or any other Loan Document by any party thereto;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hanging="120"/>
        <w:spacing w:after="0"/>
        <w:tabs>
          <w:tab w:leader="none" w:pos="56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49 -</w:t>
      </w:r>
    </w:p>
    <w:p>
      <w:pPr>
        <w:sectPr>
          <w:pgSz w:w="11900" w:h="16838" w:orient="portrait"/>
          <w:cols w:equalWidth="0" w:num="1">
            <w:col w:w="11420"/>
          </w:cols>
          <w:pgMar w:left="240" w:top="1428" w:right="239" w:bottom="1440" w:gutter="0" w:footer="0" w:header="0"/>
        </w:sectPr>
      </w:pPr>
    </w:p>
    <w:bookmarkStart w:id="63" w:name="page64"/>
    <w:bookmarkEnd w:id="63"/>
    <w:p>
      <w:pPr>
        <w:ind w:left="2320" w:hanging="367"/>
        <w:spacing w:after="0"/>
        <w:tabs>
          <w:tab w:leader="none" w:pos="2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occurrence or continuance of an Insolvency Proceeding with respect to any Loan Party;</w:t>
      </w:r>
    </w:p>
    <w:p>
      <w:pPr>
        <w:spacing w:after="0" w:line="219" w:lineRule="exact"/>
        <w:rPr>
          <w:rFonts w:ascii="Arial" w:cs="Arial" w:eastAsia="Arial" w:hAnsi="Arial"/>
          <w:sz w:val="22"/>
          <w:szCs w:val="22"/>
          <w:color w:val="auto"/>
        </w:rPr>
      </w:pPr>
    </w:p>
    <w:p>
      <w:pPr>
        <w:ind w:left="2380" w:hanging="427"/>
        <w:spacing w:after="0"/>
        <w:tabs>
          <w:tab w:leader="none" w:pos="2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fact that an Event of Default or a Potential Default shall have occurred and be continuing;</w:t>
      </w:r>
    </w:p>
    <w:p>
      <w:pPr>
        <w:spacing w:after="0" w:line="219" w:lineRule="exact"/>
        <w:rPr>
          <w:rFonts w:ascii="Arial" w:cs="Arial" w:eastAsia="Arial" w:hAnsi="Arial"/>
          <w:sz w:val="22"/>
          <w:szCs w:val="22"/>
          <w:color w:val="auto"/>
        </w:rPr>
      </w:pPr>
    </w:p>
    <w:p>
      <w:pPr>
        <w:ind w:firstLine="1953"/>
        <w:spacing w:after="0" w:line="263" w:lineRule="auto"/>
        <w:tabs>
          <w:tab w:leader="none" w:pos="24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fact that the Expiration Date shall have passed or this Agreement or the Commitments hereunder shall have been terminated; and</w:t>
      </w:r>
    </w:p>
    <w:p>
      <w:pPr>
        <w:spacing w:after="0" w:line="174" w:lineRule="exact"/>
        <w:rPr>
          <w:rFonts w:ascii="Arial" w:cs="Arial" w:eastAsia="Arial" w:hAnsi="Arial"/>
          <w:sz w:val="22"/>
          <w:szCs w:val="22"/>
          <w:color w:val="auto"/>
        </w:rPr>
      </w:pPr>
    </w:p>
    <w:p>
      <w:pPr>
        <w:ind w:left="2420" w:hanging="467"/>
        <w:spacing w:after="0"/>
        <w:tabs>
          <w:tab w:leader="none" w:pos="24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other circumstance or happening whatsoever, whether or not similar to any of the foregoing.</w:t>
      </w:r>
    </w:p>
    <w:p>
      <w:pPr>
        <w:spacing w:after="0" w:line="23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2.8.8 </w:t>
      </w:r>
      <w:r>
        <w:rPr>
          <w:rFonts w:ascii="Arial" w:cs="Arial" w:eastAsia="Arial" w:hAnsi="Arial"/>
          <w:sz w:val="19"/>
          <w:szCs w:val="19"/>
          <w:u w:val="single" w:color="auto"/>
          <w:color w:val="auto"/>
        </w:rPr>
        <w:t>Indemnity</w:t>
      </w:r>
      <w:r>
        <w:rPr>
          <w:rFonts w:ascii="Arial" w:cs="Arial" w:eastAsia="Arial" w:hAnsi="Arial"/>
          <w:sz w:val="19"/>
          <w:szCs w:val="19"/>
          <w:color w:val="auto"/>
        </w:rPr>
        <w:t>. Each Borrower hereby agrees to protect, indemnify, pay and save harmless the Issuing Lender and any of its Affiliates that has issued a Letter of Credit from and against any and all claims, demands, liabilities, damages, taxes,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the Issuing Lender or any of Issuing Lender's Affiliates of a proper demand for payment made under any Letter of Credit, except if such dishonor resulted from any act or omission, whether rightful or wrongful, of any present or future de jure or de facto government or Official Body. To the extent the Issuing Lender is not indemnified by the Borrowers, the Lenders will reimburse and indemnify the Issuing Lender, in proportion to their respective Ratable Shares, for and against any and all liabilities, obligations, losses, damages, penalties, claims, actions, judgments, costs, expenses or disbursements of whatsoever kind or nature that may be imposed on, asserted against, or incurred by the Issuing Lender in performing its respective duties in any way related to or arising out of the Letter(s) of Credit issued by the Issuing Lender; provided, however, that no Lender shall be liable for any portion of such liabilities, obligations, losses, damages, penalties, claims, actions, judgments, costs, expenses or disbursements resulting from the gross negligence or willful misconduct of the Issuing Lender or an Affiliate of the Issuing Lender.</w:t>
      </w:r>
    </w:p>
    <w:p>
      <w:pPr>
        <w:spacing w:after="0" w:line="160" w:lineRule="exact"/>
        <w:rPr>
          <w:sz w:val="20"/>
          <w:szCs w:val="20"/>
          <w:color w:val="auto"/>
        </w:rPr>
      </w:pPr>
    </w:p>
    <w:p>
      <w:pPr>
        <w:ind w:right="200" w:firstLine="1297"/>
        <w:spacing w:after="0" w:line="288" w:lineRule="auto"/>
        <w:rPr>
          <w:sz w:val="20"/>
          <w:szCs w:val="20"/>
          <w:color w:val="auto"/>
        </w:rPr>
      </w:pPr>
      <w:r>
        <w:rPr>
          <w:rFonts w:ascii="Arial" w:cs="Arial" w:eastAsia="Arial" w:hAnsi="Arial"/>
          <w:sz w:val="19"/>
          <w:szCs w:val="19"/>
          <w:color w:val="auto"/>
        </w:rPr>
        <w:t xml:space="preserve">2.8.9 </w:t>
      </w:r>
      <w:r>
        <w:rPr>
          <w:rFonts w:ascii="Arial" w:cs="Arial" w:eastAsia="Arial" w:hAnsi="Arial"/>
          <w:sz w:val="19"/>
          <w:szCs w:val="19"/>
          <w:u w:val="single" w:color="auto"/>
          <w:color w:val="auto"/>
        </w:rPr>
        <w:t>Liability for Acts and Omissions</w:t>
      </w:r>
      <w:r>
        <w:rPr>
          <w:rFonts w:ascii="Arial" w:cs="Arial" w:eastAsia="Arial" w:hAnsi="Arial"/>
          <w:sz w:val="19"/>
          <w:szCs w:val="19"/>
          <w:color w:val="auto"/>
        </w:rPr>
        <w:t>.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ectPr>
          <w:pgSz w:w="11900" w:h="16838" w:orient="portrait"/>
          <w:cols w:equalWidth="0" w:num="1">
            <w:col w:w="11420"/>
          </w:cols>
          <w:pgMar w:left="240" w:top="1428" w:right="239" w:bottom="1440" w:gutter="0" w:footer="0" w:header="0"/>
        </w:sectPr>
      </w:pPr>
    </w:p>
    <w:bookmarkStart w:id="64" w:name="page65"/>
    <w:bookmarkEnd w:id="64"/>
    <w:p>
      <w:pPr>
        <w:ind w:right="80"/>
        <w:spacing w:after="0" w:line="286" w:lineRule="auto"/>
        <w:rPr>
          <w:sz w:val="20"/>
          <w:szCs w:val="20"/>
          <w:color w:val="auto"/>
        </w:rPr>
      </w:pPr>
      <w:r>
        <w:rPr>
          <w:rFonts w:ascii="Arial" w:cs="Arial" w:eastAsia="Arial" w:hAnsi="Arial"/>
          <w:sz w:val="19"/>
          <w:szCs w:val="19"/>
          <w:color w:val="auto"/>
        </w:rPr>
        <w:t>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e-mail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Arial" w:cs="Arial" w:eastAsia="Arial" w:hAnsi="Arial"/>
          <w:sz w:val="19"/>
          <w:szCs w:val="19"/>
          <w:b w:val="1"/>
          <w:bCs w:val="1"/>
          <w:color w:val="auto"/>
        </w:rPr>
        <w:t>Order</w:t>
      </w:r>
      <w:r>
        <w:rPr>
          <w:rFonts w:ascii="Arial" w:cs="Arial" w:eastAsia="Arial" w:hAnsi="Arial"/>
          <w:sz w:val="19"/>
          <w:szCs w:val="19"/>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200" w:lineRule="exact"/>
        <w:rPr>
          <w:sz w:val="20"/>
          <w:szCs w:val="20"/>
          <w:color w:val="auto"/>
        </w:rPr>
      </w:pP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ectPr>
          <w:pgSz w:w="11900" w:h="16838" w:orient="portrait"/>
          <w:cols w:equalWidth="0" w:num="1">
            <w:col w:w="11420"/>
          </w:cols>
          <w:pgMar w:left="240" w:top="1428" w:right="23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omitted in good faith, shall not put the Issuing Lender or its Affiliates under any resulting liability to the Borrowers or any Lender.</w:t>
      </w:r>
    </w:p>
    <w:p>
      <w:pPr>
        <w:spacing w:after="0" w:line="254"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2.8.10 </w:t>
      </w:r>
      <w:r>
        <w:rPr>
          <w:rFonts w:ascii="Arial" w:cs="Arial" w:eastAsia="Arial" w:hAnsi="Arial"/>
          <w:sz w:val="19"/>
          <w:szCs w:val="19"/>
          <w:u w:val="single" w:color="auto"/>
          <w:color w:val="auto"/>
        </w:rPr>
        <w:t>Issuing Lender Reporting Requirements</w:t>
      </w:r>
      <w:r>
        <w:rPr>
          <w:rFonts w:ascii="Arial" w:cs="Arial" w:eastAsia="Arial" w:hAnsi="Arial"/>
          <w:sz w:val="19"/>
          <w:szCs w:val="19"/>
          <w:color w:val="auto"/>
        </w:rPr>
        <w:t>. Any Issuing Lender other than PNC shall, on the first Business Day of each month, provide to Administrative Agent and Borrowers a schedule of the Letters of Credit issued by it, in form and substance satisfactory to Administrative Agent, showing the date of issuance of each Letter of Credit, the account party (if applicable), the original face amount (if any), and the expiration date of any Letter of Credit of such Lender outstanding at any time during the preceding month, and any other information relating to such Letters of Credit that the Administrative Agent may request.</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Utilization of Commitments in Optional Currencies.</w:t>
      </w:r>
    </w:p>
    <w:p>
      <w:pPr>
        <w:spacing w:after="0" w:line="220" w:lineRule="exact"/>
        <w:rPr>
          <w:sz w:val="20"/>
          <w:szCs w:val="20"/>
          <w:color w:val="auto"/>
        </w:rPr>
      </w:pPr>
    </w:p>
    <w:p>
      <w:pPr>
        <w:ind w:right="40" w:firstLine="1297"/>
        <w:spacing w:after="0" w:line="288" w:lineRule="auto"/>
        <w:rPr>
          <w:sz w:val="20"/>
          <w:szCs w:val="20"/>
          <w:color w:val="auto"/>
        </w:rPr>
      </w:pPr>
      <w:r>
        <w:rPr>
          <w:rFonts w:ascii="Arial" w:cs="Arial" w:eastAsia="Arial" w:hAnsi="Arial"/>
          <w:sz w:val="19"/>
          <w:szCs w:val="19"/>
          <w:color w:val="auto"/>
        </w:rPr>
        <w:t xml:space="preserve">2.9.1 </w:t>
      </w:r>
      <w:r>
        <w:rPr>
          <w:rFonts w:ascii="Arial" w:cs="Arial" w:eastAsia="Arial" w:hAnsi="Arial"/>
          <w:sz w:val="19"/>
          <w:szCs w:val="19"/>
          <w:u w:val="single" w:color="auto"/>
          <w:color w:val="auto"/>
        </w:rPr>
        <w:t>Periodic Computations of Dollar Equivalent Amounts of Revolving Credit Loans that are Optional Currency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 and Letters of Credit Outstanding; Repayment in Same Currency</w:t>
      </w:r>
      <w:r>
        <w:rPr>
          <w:rFonts w:ascii="Arial" w:cs="Arial" w:eastAsia="Arial" w:hAnsi="Arial"/>
          <w:sz w:val="19"/>
          <w:szCs w:val="19"/>
          <w:color w:val="auto"/>
        </w:rPr>
        <w:t>. For purposes of determining utilization of the Revolving Credit Commitments, the Administrative Agent will determine the Dollar Equivalent amount of (i) the outstanding and proposed Revolving Credit Loans that are Optional Currency Loans and Letters of Credit to be denominated in an Optional Currency as of the requested Borrowing Date or date of issuance, as the case may be, (ii) the outstanding Letter of Credit Obligations denominated in an Optional Currency as of the last Business Day of each month, and (iii) the outstanding Revolving Credit Loans denominated in an Optional Currency as of the end of each Interest Period (each such date under clauses (i) through (iii), and any other date on which the Administrative Agent determines it is necessary or advisable to make such computation, in its sole discretion, is referred to as a "</w:t>
      </w:r>
      <w:r>
        <w:rPr>
          <w:rFonts w:ascii="Arial" w:cs="Arial" w:eastAsia="Arial" w:hAnsi="Arial"/>
          <w:sz w:val="19"/>
          <w:szCs w:val="19"/>
          <w:b w:val="1"/>
          <w:bCs w:val="1"/>
          <w:color w:val="auto"/>
        </w:rPr>
        <w:t>Computation Date</w:t>
      </w:r>
      <w:r>
        <w:rPr>
          <w:rFonts w:ascii="Arial" w:cs="Arial" w:eastAsia="Arial" w:hAnsi="Arial"/>
          <w:sz w:val="19"/>
          <w:szCs w:val="19"/>
          <w:color w:val="auto"/>
        </w:rPr>
        <w:t>"). Unless otherwise provided in this Agreement or agreed to by the Administrative Agent and the Company, each Loan and Reimbursement Obligation shall be repaid or prepaid in the same currency in which the Loan or Reimbursement Obligation was made.</w:t>
      </w:r>
    </w:p>
    <w:p>
      <w:pPr>
        <w:spacing w:after="0" w:line="155" w:lineRule="exact"/>
        <w:rPr>
          <w:sz w:val="20"/>
          <w:szCs w:val="20"/>
          <w:color w:val="auto"/>
        </w:rPr>
      </w:pPr>
    </w:p>
    <w:p>
      <w:pPr>
        <w:ind w:right="20" w:firstLine="1297"/>
        <w:spacing w:after="0" w:line="289" w:lineRule="auto"/>
        <w:rPr>
          <w:sz w:val="20"/>
          <w:szCs w:val="20"/>
          <w:color w:val="auto"/>
        </w:rPr>
      </w:pPr>
      <w:r>
        <w:rPr>
          <w:rFonts w:ascii="Arial" w:cs="Arial" w:eastAsia="Arial" w:hAnsi="Arial"/>
          <w:sz w:val="19"/>
          <w:szCs w:val="19"/>
          <w:color w:val="auto"/>
        </w:rPr>
        <w:t xml:space="preserve">2.9.2 </w:t>
      </w:r>
      <w:r>
        <w:rPr>
          <w:rFonts w:ascii="Arial" w:cs="Arial" w:eastAsia="Arial" w:hAnsi="Arial"/>
          <w:sz w:val="19"/>
          <w:szCs w:val="19"/>
          <w:u w:val="single" w:color="auto"/>
          <w:color w:val="auto"/>
        </w:rPr>
        <w:t>Notices From Lenders That Optional Currencies Are Unavailable to Fund New Loans</w:t>
      </w:r>
      <w:r>
        <w:rPr>
          <w:rFonts w:ascii="Arial" w:cs="Arial" w:eastAsia="Arial" w:hAnsi="Arial"/>
          <w:sz w:val="19"/>
          <w:szCs w:val="19"/>
          <w:color w:val="auto"/>
        </w:rPr>
        <w:t>. The Lenders shall be under no obligation to make the Revolving Credit Loans requested by the Borrowers which are denominated in an Optional Currency if any Lender notifies the Administrative Agent by 5:00 p.m. four (4) Business Days prior to the Borrowing Date for such Revolving Credit Loans that such Lender cannot provide its Revolving Credit Ratable Share of such Revolving Credit Loans in such Optional Currency. In the event the Administrative Agent timely receives a notice from a Lender pursuant to the preceding sentence, the Administrative Agent will notify the Borrowers no later than 12:00 p.m. three (3) Business Days prior to the Borrowing Date for such Revolving Credit Loans that the Optional Currency is not then available for such Revolving Credit Loans, and the Administrative Agent shall promptly thereafter notify the Lenders of the same and the Lenders shall not make such Revolving Credit Loans requested by the Borrowers under their Loan Request.</w:t>
      </w:r>
    </w:p>
    <w:p>
      <w:pPr>
        <w:spacing w:after="0" w:line="158"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 xml:space="preserve">2.9.3 </w:t>
      </w:r>
      <w:r>
        <w:rPr>
          <w:rFonts w:ascii="Arial" w:cs="Arial" w:eastAsia="Arial" w:hAnsi="Arial"/>
          <w:sz w:val="19"/>
          <w:szCs w:val="19"/>
          <w:u w:val="single" w:color="auto"/>
          <w:color w:val="auto"/>
        </w:rPr>
        <w:t>Notices From Lenders That Optional Currencies Are Unavailable to Fund Renewals of the Euro-Rate Option</w:t>
      </w:r>
      <w:r>
        <w:rPr>
          <w:rFonts w:ascii="Arial" w:cs="Arial" w:eastAsia="Arial" w:hAnsi="Arial"/>
          <w:sz w:val="19"/>
          <w:szCs w:val="19"/>
          <w:color w:val="auto"/>
        </w:rPr>
        <w:t>. If the Borrowers deliver a Loan Request requesting that the Lenders renew the Euro-Rate Option with respect to an outstanding Borrowing Tranche of Revolving Credit Loans denominated in an Optional Currency, the Lenders shall be under no obligation to renew such Euro-Rate Option if any Lender delivers to the Administrative Agent a notice by 5:00 p.m. four (4) Business Days prior to the effective date of such renewal that such Lender cannot continue to provide Revolving Credit Loans in such Optional Currency. In the event the Administrative Agent timely receives a notice from a Lender pursuant to the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- 52 -</w:t>
      </w:r>
    </w:p>
    <w:p>
      <w:pPr>
        <w:sectPr>
          <w:pgSz w:w="11900" w:h="16838" w:orient="portrait"/>
          <w:cols w:equalWidth="0" w:num="1">
            <w:col w:w="11420"/>
          </w:cols>
          <w:pgMar w:left="240" w:top="1428" w:right="23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9"/>
          <w:szCs w:val="19"/>
          <w:color w:val="auto"/>
        </w:rPr>
        <w:t>sentence, the Administrative Agent will notify the Borrowers no later than 12:00 p.m. three (3) Business Days prior to the renewal date that the renewal of such Revolving Credit Loans in such Optional Currency is not then available, and the Administrative Agent shall promptly thereafter notify the Lenders of the same. If the Administrative Agent shall have so notified the Borrowers that any such continuation of such Revolving Credit Loans in such Optional Currency is not then available, any notice of renewal with respect thereto shall be deemed withdrawn, and such Loans shall be redenominated into Loans in Dollars at the Base Rate Option or Euro-Rate Option, at the Company's option on behalf of the Borrowers (subject, in the case of the Euro-Rate Option, to compliance with Section 2.5 [Making Revolving Credit Loans, Etc.] and Section 4.1 [Interest Rate Options]), with effect from the last day of the Interest Period with respect to any such Loans. The Administrative Agent will promptly notify the Borrowers and the Lenders of any such redenomination, and in such notice, the Administrative Agent will state the aggregate Dollar Equivalent amount of the redenominated Revolving Credit Loans in an Optional Currency as of the applicable Computation Date with respect thereto and such Lender's Revolving Credit Ratable Share thereof. Notwithstanding anything to the contrary herein, each of the Lenders party to this Agreement as of the Closing Date acknowledge and agree that, as of the Closing Date, such Lender can make Revolving Credit Loans denominated in Canadian Dollars, Euro and British Pounds Sterling. However, the Borrowers acknowledge and agree that the foregoing acknowledgement does not constitute a covenant, representation or warranty that such Lenders will be able to lend in such currencies on any particular date in the future.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2.9.4 </w:t>
      </w:r>
      <w:r>
        <w:rPr>
          <w:rFonts w:ascii="Arial" w:cs="Arial" w:eastAsia="Arial" w:hAnsi="Arial"/>
          <w:sz w:val="22"/>
          <w:szCs w:val="22"/>
          <w:u w:val="single" w:color="auto"/>
          <w:color w:val="auto"/>
        </w:rPr>
        <w:t>European Monetary Union</w:t>
      </w:r>
      <w:r>
        <w:rPr>
          <w:rFonts w:ascii="Arial" w:cs="Arial" w:eastAsia="Arial" w:hAnsi="Arial"/>
          <w:sz w:val="22"/>
          <w:szCs w:val="22"/>
          <w:color w:val="auto"/>
        </w:rPr>
        <w:t>.</w:t>
      </w:r>
    </w:p>
    <w:p>
      <w:pPr>
        <w:spacing w:after="0" w:line="220"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21"/>
          <w:szCs w:val="21"/>
          <w:color w:val="auto"/>
        </w:rPr>
        <w:t xml:space="preserve">2.9.4.1 </w:t>
      </w:r>
      <w:r>
        <w:rPr>
          <w:rFonts w:ascii="Arial" w:cs="Arial" w:eastAsia="Arial" w:hAnsi="Arial"/>
          <w:sz w:val="21"/>
          <w:szCs w:val="21"/>
          <w:u w:val="single" w:color="auto"/>
          <w:color w:val="auto"/>
        </w:rPr>
        <w:t>Payments In Euros Under Certain Circumstances</w:t>
      </w:r>
      <w:r>
        <w:rPr>
          <w:rFonts w:ascii="Arial" w:cs="Arial" w:eastAsia="Arial" w:hAnsi="Arial"/>
          <w:sz w:val="21"/>
          <w:szCs w:val="21"/>
          <w:color w:val="auto"/>
        </w:rPr>
        <w:t>. If (i) any Optional Currency ceases to be lawful currency of the nation issuing the same and is replaced by the Euro or (ii) any Optional Currency and the Euro are at the same time recognized by any governmental authority of the nation issuing such currency as lawful currency of such nation and the Administrative Agent or the Required Lenders shall so request in a notice delivered to the Borrowers, then any amount payable hereunder by any party hereto in such Optional Currency shall instead by payable in the Euro and the amount so payable shall be determined by translating the amount payable in such Optional Currency to the Euro at the exchange rate established by that nation for the purpose of implementing the replacement of the relevant Optional Currency by the Euro (and the provisions governing payments in Optional Currencies in this Agreement shall apply to such payment in the Euro as if such payment in the Euro were a payment in an Optional Currency). Prior to the occurrence of the event or events described in clause (i) or (ii) of the preceding sentence, each amount payable hereunder in any Optional Currency will, except as otherwise provided herein, continue to be payable only in that currency.</w:t>
      </w:r>
    </w:p>
    <w:p>
      <w:pPr>
        <w:spacing w:after="0" w:line="183" w:lineRule="exact"/>
        <w:rPr>
          <w:sz w:val="20"/>
          <w:szCs w:val="20"/>
          <w:color w:val="auto"/>
        </w:rPr>
      </w:pPr>
    </w:p>
    <w:p>
      <w:pPr>
        <w:jc w:val="both"/>
        <w:ind w:firstLine="1945"/>
        <w:spacing w:after="0" w:line="294" w:lineRule="auto"/>
        <w:rPr>
          <w:sz w:val="20"/>
          <w:szCs w:val="20"/>
          <w:color w:val="auto"/>
        </w:rPr>
      </w:pPr>
      <w:r>
        <w:rPr>
          <w:rFonts w:ascii="Arial" w:cs="Arial" w:eastAsia="Arial" w:hAnsi="Arial"/>
          <w:sz w:val="19"/>
          <w:szCs w:val="19"/>
          <w:color w:val="auto"/>
        </w:rPr>
        <w:t xml:space="preserve">2.9.4.2 </w:t>
      </w:r>
      <w:r>
        <w:rPr>
          <w:rFonts w:ascii="Arial" w:cs="Arial" w:eastAsia="Arial" w:hAnsi="Arial"/>
          <w:sz w:val="19"/>
          <w:szCs w:val="19"/>
          <w:u w:val="single" w:color="auto"/>
          <w:color w:val="auto"/>
        </w:rPr>
        <w:t>Additional Compensation Under Certain Circumstances</w:t>
      </w:r>
      <w:r>
        <w:rPr>
          <w:rFonts w:ascii="Arial" w:cs="Arial" w:eastAsia="Arial" w:hAnsi="Arial"/>
          <w:sz w:val="19"/>
          <w:szCs w:val="19"/>
          <w:color w:val="auto"/>
        </w:rPr>
        <w:t>. The Borrowers agree, at the request of any Lender, to compensate such Lender for any loss, cost, expense or reduction in return that such Lender shall reasonably determine shall be incurred or sustained by such Lender as a result of the replacement of any Optional Currency by the Euro and that would not have been incurred or sustained but for the transactions provided for herein. A certificate of any Lender setting forth such Lender's determination of the amount or amounts necessary to compensate such Lender shall be delivered to the Borrowers and shall be conclusive absent manifest error so long as such determination is made on a reasonable basis.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ectPr>
          <w:pgSz w:w="11900" w:h="16838" w:orient="portrait"/>
          <w:cols w:equalWidth="0" w:num="1">
            <w:col w:w="11420"/>
          </w:cols>
          <w:pgMar w:left="240" w:top="1428"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Borrowers shall pay such Lender the amount shown as due on any such certificate within ten (10) days after receipt thereof.</w:t>
      </w:r>
    </w:p>
    <w:p>
      <w:pPr>
        <w:spacing w:after="0" w:line="254" w:lineRule="exact"/>
        <w:rPr>
          <w:sz w:val="20"/>
          <w:szCs w:val="20"/>
          <w:color w:val="auto"/>
        </w:rPr>
      </w:pPr>
    </w:p>
    <w:p>
      <w:pPr>
        <w:ind w:right="120" w:firstLine="1297"/>
        <w:spacing w:after="0" w:line="259" w:lineRule="auto"/>
        <w:rPr>
          <w:sz w:val="20"/>
          <w:szCs w:val="20"/>
          <w:color w:val="auto"/>
        </w:rPr>
      </w:pPr>
      <w:r>
        <w:rPr>
          <w:rFonts w:ascii="Arial" w:cs="Arial" w:eastAsia="Arial" w:hAnsi="Arial"/>
          <w:sz w:val="21"/>
          <w:szCs w:val="21"/>
          <w:color w:val="auto"/>
        </w:rPr>
        <w:t xml:space="preserve">2.9.5 </w:t>
      </w:r>
      <w:r>
        <w:rPr>
          <w:rFonts w:ascii="Arial" w:cs="Arial" w:eastAsia="Arial" w:hAnsi="Arial"/>
          <w:sz w:val="21"/>
          <w:szCs w:val="21"/>
          <w:u w:val="single" w:color="auto"/>
          <w:color w:val="auto"/>
        </w:rPr>
        <w:t>Requests for Additional Optional Currencies</w:t>
      </w:r>
      <w:r>
        <w:rPr>
          <w:rFonts w:ascii="Arial" w:cs="Arial" w:eastAsia="Arial" w:hAnsi="Arial"/>
          <w:sz w:val="21"/>
          <w:szCs w:val="21"/>
          <w:color w:val="auto"/>
        </w:rPr>
        <w:t xml:space="preserve">. The Borrowers may deliver to the Administrative Agent a written request that Revolving Credit Loans hereunder also be permitted to be made in any other lawful currency (other than Dollars), in addition to the currencies specified in the definition of "Optional Currency"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currency must be freely traded in the offshore interbank foreign exchange markets, freely transferable, freely convertible into Dollars and available to the Lenders in the Relevant Interbank Market. The Administrative Agent will promptly notify the Lenders of any such request promptly after the Administrative Agent receives such request. The Administrative Agent will promptly notify the Borrowers of the acceptance or rejection by the Administrative Agent and each of the Lenders of the Borrowers' request. The requested currency shall be approved as an Optional Currency hereunder only if the Administrative Agent and all of the Lenders approve of the Borrowers' request.</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Defaulting Lenders.</w:t>
      </w:r>
      <w:r>
        <w:rPr>
          <w:rFonts w:ascii="Arial" w:cs="Arial" w:eastAsia="Arial" w:hAnsi="Arial"/>
          <w:sz w:val="21"/>
          <w:szCs w:val="21"/>
          <w:color w:val="auto"/>
        </w:rPr>
        <w:t xml:space="preserve"> Notwithstanding any provision of this Agreement to the contrary, if any Lender becomes a</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Defaulting Lender, then the following provisions shall apply for so long as such Lender is a Defaulting Lender:</w:t>
      </w:r>
    </w:p>
    <w:p>
      <w:pPr>
        <w:spacing w:after="0" w:line="202" w:lineRule="exact"/>
        <w:rPr>
          <w:sz w:val="20"/>
          <w:szCs w:val="20"/>
          <w:color w:val="auto"/>
        </w:rPr>
      </w:pPr>
    </w:p>
    <w:p>
      <w:pPr>
        <w:ind w:firstLine="1953"/>
        <w:spacing w:after="0" w:line="263" w:lineRule="auto"/>
        <w:tabs>
          <w:tab w:leader="none" w:pos="22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fees shall cease to accrue on the unfunded portion of the Commitment of such Defaulting Lender pursuant to Section 2.3 [Commitment Fees];</w:t>
      </w:r>
    </w:p>
    <w:p>
      <w:pPr>
        <w:spacing w:after="0" w:line="174" w:lineRule="exact"/>
        <w:rPr>
          <w:rFonts w:ascii="Arial" w:cs="Arial" w:eastAsia="Arial" w:hAnsi="Arial"/>
          <w:sz w:val="22"/>
          <w:szCs w:val="22"/>
          <w:color w:val="auto"/>
        </w:rPr>
      </w:pPr>
    </w:p>
    <w:p>
      <w:pPr>
        <w:jc w:val="both"/>
        <w:ind w:firstLine="1953"/>
        <w:spacing w:after="0" w:line="248" w:lineRule="auto"/>
        <w:tabs>
          <w:tab w:leader="none" w:pos="226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Commitment and outstanding Loans of such Defaulting Lender shall not be included in determining whether the Required Lenders have taken or may take any action hereunder (including any consent to any amendment, waiver or other modification pursuant to Section 12.1 [Modifications, Amendments or Waivers]); provided, that this clause (ii) shall not apply to the vote of a Defaulting Lender in the case of an amendment, waiver or other modification requiring the consent of such Lender or each Lender directly affected thereby;</w:t>
      </w:r>
    </w:p>
    <w:p>
      <w:pPr>
        <w:spacing w:after="0" w:line="192" w:lineRule="exact"/>
        <w:rPr>
          <w:rFonts w:ascii="Arial" w:cs="Arial" w:eastAsia="Arial" w:hAnsi="Arial"/>
          <w:sz w:val="22"/>
          <w:szCs w:val="22"/>
          <w:color w:val="auto"/>
        </w:rPr>
      </w:pPr>
    </w:p>
    <w:p>
      <w:pPr>
        <w:ind w:right="20" w:firstLine="1953"/>
        <w:spacing w:after="0" w:line="263" w:lineRule="auto"/>
        <w:tabs>
          <w:tab w:leader="none" w:pos="2336"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any Swing Loans are outstanding or any Letter of Credit Obligations exist at the time such Lender becomes a Defaulting Lender, then:</w:t>
      </w:r>
    </w:p>
    <w:p>
      <w:pPr>
        <w:spacing w:after="0" w:line="174" w:lineRule="exact"/>
        <w:rPr>
          <w:rFonts w:ascii="Arial" w:cs="Arial" w:eastAsia="Arial" w:hAnsi="Arial"/>
          <w:sz w:val="22"/>
          <w:szCs w:val="22"/>
          <w:color w:val="auto"/>
        </w:rPr>
      </w:pPr>
    </w:p>
    <w:p>
      <w:pPr>
        <w:jc w:val="both"/>
        <w:ind w:firstLine="2601"/>
        <w:spacing w:after="0" w:line="302" w:lineRule="auto"/>
        <w:tabs>
          <w:tab w:leader="none" w:pos="2887" w:val="left"/>
        </w:tabs>
        <w:numPr>
          <w:ilvl w:val="1"/>
          <w:numId w:val="30"/>
        </w:numPr>
        <w:rPr>
          <w:rFonts w:ascii="Arial" w:cs="Arial" w:eastAsia="Arial" w:hAnsi="Arial"/>
          <w:sz w:val="19"/>
          <w:szCs w:val="19"/>
          <w:color w:val="auto"/>
        </w:rPr>
      </w:pPr>
      <w:r>
        <w:rPr>
          <w:rFonts w:ascii="Arial" w:cs="Arial" w:eastAsia="Arial" w:hAnsi="Arial"/>
          <w:sz w:val="19"/>
          <w:szCs w:val="19"/>
          <w:color w:val="auto"/>
        </w:rPr>
        <w:t>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spacing w:after="0" w:line="142" w:lineRule="exact"/>
        <w:rPr>
          <w:rFonts w:ascii="Arial" w:cs="Arial" w:eastAsia="Arial" w:hAnsi="Arial"/>
          <w:sz w:val="19"/>
          <w:szCs w:val="19"/>
          <w:color w:val="auto"/>
        </w:rPr>
      </w:pPr>
    </w:p>
    <w:p>
      <w:pPr>
        <w:jc w:val="both"/>
        <w:ind w:firstLine="2601"/>
        <w:spacing w:after="0" w:line="297" w:lineRule="auto"/>
        <w:tabs>
          <w:tab w:leader="none" w:pos="292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(a) above cannot, or can only partially, be effected, the Borrowers shall within one Business Day following notice by the Administrative Agent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such outstanding Swing Loans, and (y) </w:t>
      </w:r>
      <w:r>
        <w:rPr>
          <w:rFonts w:ascii="Arial" w:cs="Arial" w:eastAsia="Arial" w:hAnsi="Arial"/>
          <w:sz w:val="19"/>
          <w:szCs w:val="19"/>
          <w:u w:val="single" w:color="auto"/>
          <w:color w:val="auto"/>
        </w:rPr>
        <w:t>second</w:t>
      </w:r>
      <w:r>
        <w:rPr>
          <w:rFonts w:ascii="Arial" w:cs="Arial" w:eastAsia="Arial" w:hAnsi="Arial"/>
          <w:sz w:val="19"/>
          <w:szCs w:val="19"/>
          <w:color w:val="auto"/>
        </w:rPr>
        <w:t>, cash collateralize for the benefit of the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4" w:lineRule="exact"/>
        <w:rPr>
          <w:rFonts w:ascii="Arial" w:cs="Arial" w:eastAsia="Arial" w:hAnsi="Arial"/>
          <w:sz w:val="19"/>
          <w:szCs w:val="19"/>
          <w:color w:val="auto"/>
        </w:rPr>
      </w:pPr>
    </w:p>
    <w:p>
      <w:pPr>
        <w:ind w:left="5600" w:hanging="120"/>
        <w:spacing w:after="0"/>
        <w:tabs>
          <w:tab w:leader="none" w:pos="5600" w:val="left"/>
        </w:tabs>
        <w:numPr>
          <w:ilvl w:val="2"/>
          <w:numId w:val="30"/>
        </w:numPr>
        <w:rPr>
          <w:rFonts w:ascii="Arial" w:cs="Arial" w:eastAsia="Arial" w:hAnsi="Arial"/>
          <w:sz w:val="22"/>
          <w:szCs w:val="22"/>
          <w:color w:val="auto"/>
        </w:rPr>
      </w:pPr>
      <w:r>
        <w:rPr>
          <w:rFonts w:ascii="Arial" w:cs="Arial" w:eastAsia="Arial" w:hAnsi="Arial"/>
          <w:sz w:val="22"/>
          <w:szCs w:val="22"/>
          <w:color w:val="auto"/>
        </w:rPr>
        <w:t>54 -</w:t>
      </w:r>
    </w:p>
    <w:p>
      <w:pPr>
        <w:sectPr>
          <w:pgSz w:w="11900" w:h="16838" w:orient="portrait"/>
          <w:cols w:equalWidth="0" w:num="1">
            <w:col w:w="11420"/>
          </w:cols>
          <w:pgMar w:left="240" w:top="1428" w:right="239" w:bottom="1440" w:gutter="0" w:footer="0" w:header="0"/>
        </w:sectPr>
      </w:pPr>
    </w:p>
    <w:bookmarkStart w:id="68" w:name="page69"/>
    <w:bookmarkEnd w:id="68"/>
    <w:p>
      <w:pPr>
        <w:jc w:val="both"/>
        <w:ind w:firstLine="2601"/>
        <w:spacing w:after="0" w:line="250" w:lineRule="auto"/>
        <w:tabs>
          <w:tab w:leader="none" w:pos="2927"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the Borrowers cash collateralizes any portion of such Defaulting Lender's Letter of Credit Obligations pursuant to clause (b) above, the Borrowers shall not be required to pay any fees to such Defaulting Lender pursuant to Section 2.8.2 [Letter of Credit Fees] with respect to such Defaulting Lender's Letter of Credit Obligations during the period such Defaulting Lender's Letter of Credit Obligations are cash collateralized;</w:t>
      </w:r>
    </w:p>
    <w:p>
      <w:pPr>
        <w:spacing w:after="0" w:line="188" w:lineRule="exact"/>
        <w:rPr>
          <w:rFonts w:ascii="Arial" w:cs="Arial" w:eastAsia="Arial" w:hAnsi="Arial"/>
          <w:sz w:val="22"/>
          <w:szCs w:val="22"/>
          <w:color w:val="auto"/>
        </w:rPr>
      </w:pPr>
    </w:p>
    <w:p>
      <w:pPr>
        <w:jc w:val="both"/>
        <w:ind w:firstLine="2601"/>
        <w:spacing w:after="0" w:line="253" w:lineRule="auto"/>
        <w:tabs>
          <w:tab w:leader="none" w:pos="29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the Letter of Credit Obligations of the non-Defaulting Lenders are reallocated pursuant to clause (a) above, then the fees payable to the Lenders pursuant to Section 2.8.2 [Letter of Credit Fees] shall be adjusted in accordance with such non-Defaulting Lenders' Ratable Share; and</w:t>
      </w:r>
    </w:p>
    <w:p>
      <w:pPr>
        <w:spacing w:after="0" w:line="185" w:lineRule="exact"/>
        <w:rPr>
          <w:rFonts w:ascii="Arial" w:cs="Arial" w:eastAsia="Arial" w:hAnsi="Arial"/>
          <w:sz w:val="22"/>
          <w:szCs w:val="22"/>
          <w:color w:val="auto"/>
        </w:rPr>
      </w:pPr>
    </w:p>
    <w:p>
      <w:pPr>
        <w:jc w:val="both"/>
        <w:ind w:firstLine="2601"/>
        <w:spacing w:after="0" w:line="297" w:lineRule="auto"/>
        <w:tabs>
          <w:tab w:leader="none" w:pos="2941"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Letter of Credit Obligations are neither reallocated nor cash collateralized pursuant to clause (a) or (b) above, then, without prejudice to any rights or remedies of the Issuing Lender or any other Lender hereunder, all Letter of Credit Fees payable under Section 2.8.2 [Letter of Credit Fees] with respect to such Defaulting Lender's Letter of Credit Obligations shall be payable to the Issuing Lender (and not to such Defaulting Lender) until and to the extent that such Letter of Credit Obligations are reallocated and/or cash collateralized; and</w:t>
      </w:r>
    </w:p>
    <w:p>
      <w:pPr>
        <w:spacing w:after="0" w:line="147" w:lineRule="exact"/>
        <w:rPr>
          <w:rFonts w:ascii="Arial" w:cs="Arial" w:eastAsia="Arial" w:hAnsi="Arial"/>
          <w:sz w:val="19"/>
          <w:szCs w:val="19"/>
          <w:color w:val="auto"/>
        </w:rPr>
      </w:pPr>
    </w:p>
    <w:p>
      <w:pPr>
        <w:jc w:val="both"/>
        <w:ind w:firstLine="1953"/>
        <w:spacing w:after="0" w:line="259" w:lineRule="auto"/>
        <w:tabs>
          <w:tab w:leader="none" w:pos="2311"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so long as such Lender is a Defaulting Lender, PNC shall not be required to fund any Swing Loans and the Issuing Lender shall not be required to issue, amend or increase any Letter of Credit, unless (a) with respect to Letters of Credit, such Issuing Lender is satisfied that the related exposure and the Defaulting Lender's then outstanding Letter of Credit Obligations will be 100% covered by the Revolving Credit Commitments of the non-Defaulting Lenders and/or cash collateral will be provided by the Borrowers in accordance with Section 2.10(iii), and (b) with respect to Swing Loans, the amount of requested Swing Loans when allocated to non-Defaulting Lenders </w:t>
      </w:r>
      <w:r>
        <w:rPr>
          <w:rFonts w:ascii="Arial" w:cs="Arial" w:eastAsia="Arial" w:hAnsi="Arial"/>
          <w:sz w:val="21"/>
          <w:szCs w:val="21"/>
          <w:i w:val="1"/>
          <w:iCs w:val="1"/>
          <w:color w:val="auto"/>
        </w:rPr>
        <w:t>plus</w:t>
      </w:r>
      <w:r>
        <w:rPr>
          <w:rFonts w:ascii="Arial" w:cs="Arial" w:eastAsia="Arial" w:hAnsi="Arial"/>
          <w:sz w:val="21"/>
          <w:szCs w:val="21"/>
          <w:color w:val="auto"/>
        </w:rPr>
        <w:t xml:space="preserve"> outstanding Swing Loans will be 100% covered by the Revolving Credit Commitments of the non-Defaulting Lenders. Participating interests in any newly made Swing Loan or any newly issued or increased Letter of Credit shall be allocated among non-Defaulting Lenders in a manner consistent with Section 2.10(iii)(a) (and such Defaulting Lender shall not participate therein).</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(i) a Bankruptcy Event with respect to a parent company of any Lender shall occur following the date hereof and for so long as such event shall continue, or (ii) PNC or the Issuing Lender has a good faith belief that any Lender has defaulted in fulfilling its obligations under one or more other agreements in which such Lender commits to extend credit, PNC shall not be required to fund any Swing Loan and the Issuing Lender shall not be required to issue, amend or increase any Letter of Credit, unless PNC or the Issuing Lender, as the case may be, shall have entered into arrangements with the Borrowers or such Lender, satisfactory to PNC or the Issuing Lender, as the case may be, to defease any risk to it in respect of such Lender hereunder.</w:t>
      </w:r>
    </w:p>
    <w:p>
      <w:pPr>
        <w:spacing w:after="0" w:line="1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the event that the Administrative Agent, the Borrowers, PNC and the Issuing Lender agree in writing that a Defaulting Lender has adequately remedied all matters that caused such Lender to be a Defaulting Lender, then the Administrative Agent will so notify the parties hereto, and the Ratable Share of the Swing Loans and Letter of Credit Obligations of the Lenders shall be readjusted to reflect the inclusion of such Lender's Commitment, and on such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ectPr>
          <w:pgSz w:w="11900" w:h="16838" w:orient="portrait"/>
          <w:cols w:equalWidth="0" w:num="1">
            <w:col w:w="11420"/>
          </w:cols>
          <w:pgMar w:left="240" w:top="1428" w:right="239" w:bottom="1440" w:gutter="0" w:footer="0" w:header="0"/>
        </w:sectPr>
      </w:pPr>
    </w:p>
    <w:bookmarkStart w:id="69" w:name="page70"/>
    <w:bookmarkEnd w:id="69"/>
    <w:p>
      <w:pPr>
        <w:ind w:right="20"/>
        <w:spacing w:after="0" w:line="287" w:lineRule="auto"/>
        <w:rPr>
          <w:sz w:val="20"/>
          <w:szCs w:val="20"/>
          <w:color w:val="auto"/>
        </w:rPr>
      </w:pPr>
      <w:r>
        <w:rPr>
          <w:rFonts w:ascii="Arial" w:cs="Arial" w:eastAsia="Arial" w:hAnsi="Arial"/>
          <w:sz w:val="21"/>
          <w:szCs w:val="21"/>
          <w:color w:val="auto"/>
        </w:rPr>
        <w:t>Lender shall purchase at par such of the Loans of the other Lenders (other than Swing Loans) as the Administrative Agent shall determine may be necessary in order for such Lender to hold such Loans in accordance with its Ratable Share.</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Provisions Applicable to All Loans.</w:t>
      </w:r>
    </w:p>
    <w:p>
      <w:pPr>
        <w:spacing w:after="0" w:line="220"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2.11.1 </w:t>
      </w:r>
      <w:r>
        <w:rPr>
          <w:rFonts w:ascii="Arial" w:cs="Arial" w:eastAsia="Arial" w:hAnsi="Arial"/>
          <w:sz w:val="19"/>
          <w:szCs w:val="19"/>
          <w:u w:val="single" w:color="auto"/>
          <w:color w:val="auto"/>
        </w:rPr>
        <w:t>Notes</w:t>
      </w:r>
      <w:r>
        <w:rPr>
          <w:rFonts w:ascii="Arial" w:cs="Arial" w:eastAsia="Arial" w:hAnsi="Arial"/>
          <w:sz w:val="19"/>
          <w:szCs w:val="19"/>
          <w:color w:val="auto"/>
        </w:rPr>
        <w:t>. The obligation of the Borrowers to repay the aggregate unpaid principal amount of the Revolving Credit Loans made to them by each Lender and Swing Loans made to them by PNC, together with interest thereon, shall be evidenced by a revolving credit Note or Swing Loan Note, as applicable, dated as of the Closing Date (or, if later, the date such Lender becomes a Lender hereunder in accordance with this Agreement or the Commitment of any Lender is increased), payable to the order of such Lender in a face amount equal to such Lender's Revolving Credit Commitment and payable to the order of PNC in the face amount equal to the Swing Loan Commitment. Upon request to the Administrative Agent made prior to the Closing Date (or, if later, the date such Lender becomes a Lender hereunder in accordance with this Agreement or the Commitment of any Lender is increased), any Lender may elect to evidence the aggregate unpaid principal amount of all Revolving Credit Loans made by it, and PNC may elect to evidence the aggregate unpaid principal amount of all Swing Loans made by it, through the maintenance in the ordinary course of business of accounts or records, which accounts or records shall be available to the Administrative Agent to review promptly upon request, in lieu of receipt of original Notes. In the event of any conflict between the accounts and records maintained by any Lender and the accounts and records of the Administrative Agent with respect to such matters, the accounts and records of the Administrative Agent shall control absent manifest error.</w:t>
      </w:r>
    </w:p>
    <w:p>
      <w:pPr>
        <w:spacing w:after="0" w:line="167" w:lineRule="exact"/>
        <w:rPr>
          <w:sz w:val="20"/>
          <w:szCs w:val="20"/>
          <w:color w:val="auto"/>
        </w:rPr>
      </w:pPr>
    </w:p>
    <w:p>
      <w:pPr>
        <w:ind w:right="260" w:firstLine="1297"/>
        <w:spacing w:after="0" w:line="343" w:lineRule="auto"/>
        <w:rPr>
          <w:sz w:val="20"/>
          <w:szCs w:val="20"/>
          <w:color w:val="auto"/>
        </w:rPr>
      </w:pPr>
      <w:r>
        <w:rPr>
          <w:rFonts w:ascii="Arial" w:cs="Arial" w:eastAsia="Arial" w:hAnsi="Arial"/>
          <w:sz w:val="19"/>
          <w:szCs w:val="19"/>
          <w:color w:val="auto"/>
        </w:rPr>
        <w:t xml:space="preserve">2.11.2 </w:t>
      </w:r>
      <w:r>
        <w:rPr>
          <w:rFonts w:ascii="Arial" w:cs="Arial" w:eastAsia="Arial" w:hAnsi="Arial"/>
          <w:sz w:val="19"/>
          <w:szCs w:val="19"/>
          <w:u w:val="single" w:color="auto"/>
          <w:color w:val="auto"/>
        </w:rPr>
        <w:t>Joint and Several Obligations</w:t>
      </w:r>
      <w:r>
        <w:rPr>
          <w:rFonts w:ascii="Arial" w:cs="Arial" w:eastAsia="Arial" w:hAnsi="Arial"/>
          <w:sz w:val="19"/>
          <w:szCs w:val="19"/>
          <w:color w:val="auto"/>
        </w:rPr>
        <w:t>. Subject to any limitations expressly set forth in Section 12.14 [Foreign Loan Parties] with respect to Foreign Borrowers, all Obligations of the Borrowers are joint and several and on a solidarity basis.</w:t>
      </w:r>
    </w:p>
    <w:p>
      <w:pPr>
        <w:spacing w:after="0" w:line="105" w:lineRule="exact"/>
        <w:rPr>
          <w:sz w:val="20"/>
          <w:szCs w:val="20"/>
          <w:color w:val="auto"/>
        </w:rPr>
      </w:pPr>
    </w:p>
    <w:p>
      <w:pPr>
        <w:ind w:left="5140" w:hanging="221"/>
        <w:spacing w:after="0"/>
        <w:tabs>
          <w:tab w:leader="none" w:pos="51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TERM LOANS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Term Loan Commitments</w:t>
      </w:r>
      <w:r>
        <w:rPr>
          <w:rFonts w:ascii="Arial" w:cs="Arial" w:eastAsia="Arial" w:hAnsi="Arial"/>
          <w:sz w:val="19"/>
          <w:szCs w:val="19"/>
          <w:color w:val="auto"/>
        </w:rPr>
        <w:t>. Subject to the terms and conditions hereof, and relying upon the representations and warranties herein specified, each Lender severally agrees to make Term Loans in Dollars to the Borrowers on the Closing Date in such principal amount as the Borrowers shall request up to, but not exceeding such Lender’s Term Loan Commitment.</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Nature of Lenders’ Obligations with Respect to Term Loans; Repayment Terms</w:t>
      </w:r>
      <w:r>
        <w:rPr>
          <w:rFonts w:ascii="Arial" w:cs="Arial" w:eastAsia="Arial" w:hAnsi="Arial"/>
          <w:sz w:val="22"/>
          <w:szCs w:val="22"/>
          <w:color w:val="auto"/>
        </w:rPr>
        <w:t xml:space="preserve">. The obligations of each Lender to make Term Loans to the Borrowers shall equal its Ratable Share of the requested Term Loan, provided that no Lender’s Term Loan to the Borrowers shall exceed its Term Loan Commitment. The failure of any Lender to make a Term Loan shall not relieve any other Lender of its obligations to make a Term Loan nor shall it impose any additional liability on any other Lender hereunder. The Lenders shall have no obligation to make Term Loans hereunder after the Closing Date, and any portion of the Term Loan Commitment not drawn on the Closing Date shall automatically expire. The Term Loan Commitments are not revolving credit commitments, and the Borrowers shall not have the right to borrow, repay and reborrow under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[Term Loan Commitments].</w:t>
      </w:r>
    </w:p>
    <w:p>
      <w:pPr>
        <w:spacing w:after="0" w:line="19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Subject to the limitations set forth in Section 12.14 [Foreign Loan Parties], the Borrowers shall repay to the Lenders the aggregate principal amount of all Term Loans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ectPr>
          <w:pgSz w:w="11900" w:h="16838" w:orient="portrait"/>
          <w:cols w:equalWidth="0" w:num="1">
            <w:col w:w="11420"/>
          </w:cols>
          <w:pgMar w:left="240" w:top="1428" w:right="23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2"/>
          <w:szCs w:val="22"/>
          <w:color w:val="auto"/>
        </w:rPr>
        <w:t>outstanding on the first day of each fiscal quarter, commencing on July 1, 2019, in an amount equal to two and a half percent (2.50%) of the aggregate principal amount of the Term Loan Commitments of all of the Lenders (which amounts shall be reduced as a result of the application of voluntary and mandatory prepayments in accordance with the order of priority set forth in Section 5.6 [Voluntary Prepayments] and Section 5.7 [Mandatory Prepayments]).</w:t>
      </w:r>
    </w:p>
    <w:p>
      <w:pPr>
        <w:spacing w:after="0" w:line="215" w:lineRule="exact"/>
        <w:rPr>
          <w:sz w:val="20"/>
          <w:szCs w:val="20"/>
          <w:color w:val="auto"/>
        </w:rPr>
      </w:pPr>
    </w:p>
    <w:p>
      <w:pPr>
        <w:jc w:val="both"/>
        <w:ind w:firstLine="729"/>
        <w:spacing w:after="0" w:line="271"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 Notes</w:t>
      </w:r>
      <w:r>
        <w:rPr>
          <w:rFonts w:ascii="Arial" w:cs="Arial" w:eastAsia="Arial" w:hAnsi="Arial"/>
          <w:sz w:val="21"/>
          <w:szCs w:val="21"/>
          <w:color w:val="auto"/>
        </w:rPr>
        <w:t>. The Obligation of the Borrowers to repay the aggregate unpaid principal amount of the Term Loans made to it by each Lender, together with interest thereon, shall be evidenced by a Term Note, dated the Closing Date, payable to the order of such Lender in a face amount equal to the Term Loan Commitment of such Lender.</w:t>
      </w:r>
    </w:p>
    <w:p>
      <w:pPr>
        <w:spacing w:after="0" w:line="195" w:lineRule="exact"/>
        <w:rPr>
          <w:sz w:val="20"/>
          <w:szCs w:val="20"/>
          <w:color w:val="auto"/>
        </w:rPr>
      </w:pPr>
    </w:p>
    <w:p>
      <w:pPr>
        <w:ind w:left="4960" w:hanging="221"/>
        <w:spacing w:after="0"/>
        <w:tabs>
          <w:tab w:leader="none" w:pos="49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INTEREST RATES</w:t>
      </w:r>
    </w:p>
    <w:p>
      <w:pPr>
        <w:spacing w:after="0" w:line="220" w:lineRule="exact"/>
        <w:rPr>
          <w:sz w:val="20"/>
          <w:szCs w:val="20"/>
          <w:color w:val="auto"/>
        </w:rPr>
      </w:pPr>
    </w:p>
    <w:p>
      <w:pPr>
        <w:ind w:left="80" w:right="80" w:firstLine="648"/>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Interest Rate Options.</w:t>
      </w:r>
      <w:r>
        <w:rPr>
          <w:rFonts w:ascii="Arial" w:cs="Arial" w:eastAsia="Arial" w:hAnsi="Arial"/>
          <w:sz w:val="19"/>
          <w:szCs w:val="19"/>
          <w:color w:val="auto"/>
        </w:rPr>
        <w:t xml:space="preserve"> The Borrowers shall pay interest in respect of the outstanding unpaid principal amount of the Loans as selected by them from the Base Rate Option or Euro-Rate Option set forth below applicable to the Loans, it being understood that, subject to the provisions of this Agreement, all Revolving Credit Loans made as part of the same Borrowing Tranche shall be made to the same Borrower and shall consist of the same Interest Rate Option, and the same Interest Period shall apply to such Loans that are part of the same Borrowing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there shall not be at any one time outstanding more than ten (10) Borrowing Tranches in the aggregate among all of the Loans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an Event of Default or Potential Default exists and is continuing, the Borrowers may not request, convert to, or renew the Euro-Rate Option for any Loans and the Required Lenders may demand that all existing Borrowing Tranches bearing interest under the Euro-Rate Option shall be converted immediately to the Base Rate Option, subject to the obligation of the Borrowers to pay any indemnity under Section 5.10 [Indemnity] in connection with such conversion. If at any time the designated rate applicable to any Loan made by any Lender exceeds such Lender's highest lawful rate, the rate of interest on such Lender's Loan shall be limited to such Lender's highest lawful rate. Interest on the principal amount of each Loan made in an Optional Currency shall be paid by the Borrowers in such Optional Currency.</w:t>
      </w:r>
    </w:p>
    <w:p>
      <w:pPr>
        <w:spacing w:after="0" w:line="1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Revolving Credit Interest Rate Options; Swing Line Interest Rate</w:t>
      </w:r>
      <w:r>
        <w:rPr>
          <w:rFonts w:ascii="Arial" w:cs="Arial" w:eastAsia="Arial" w:hAnsi="Arial"/>
          <w:sz w:val="22"/>
          <w:szCs w:val="22"/>
          <w:color w:val="auto"/>
        </w:rPr>
        <w:t>. Subject to Section 4.3 [Interest After Default], the Borrowers shall have the right to select from the following Interest Rate Options applicable to the Revolving Credit Loans, provided that any Loan made in an Optional Currency shall bear interest at the Euro-Rate:</w:t>
      </w:r>
    </w:p>
    <w:p>
      <w:pPr>
        <w:spacing w:after="0" w:line="186" w:lineRule="exact"/>
        <w:rPr>
          <w:sz w:val="20"/>
          <w:szCs w:val="20"/>
          <w:color w:val="auto"/>
        </w:rPr>
      </w:pPr>
    </w:p>
    <w:p>
      <w:pPr>
        <w:jc w:val="both"/>
        <w:ind w:firstLine="1953"/>
        <w:spacing w:after="0" w:line="271" w:lineRule="auto"/>
        <w:tabs>
          <w:tab w:leader="none" w:pos="220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Revolving Credit Base Rate Option</w:t>
      </w:r>
      <w:r>
        <w:rPr>
          <w:rFonts w:ascii="Arial" w:cs="Arial" w:eastAsia="Arial" w:hAnsi="Arial"/>
          <w:sz w:val="21"/>
          <w:szCs w:val="21"/>
          <w:color w:val="auto"/>
        </w:rPr>
        <w:t xml:space="preserve">: A fluctuating rate per annum (computed on the basis of a year of 365 or 366 days, as the case may be, and actual days elapsed) equal to the Base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such interest rate to change automatically from time to time effective as of the effective date of each change in the Base Rate; or</w:t>
      </w:r>
    </w:p>
    <w:p>
      <w:pPr>
        <w:spacing w:after="0" w:line="167" w:lineRule="exact"/>
        <w:rPr>
          <w:rFonts w:ascii="Arial" w:cs="Arial" w:eastAsia="Arial" w:hAnsi="Arial"/>
          <w:sz w:val="21"/>
          <w:szCs w:val="21"/>
          <w:color w:val="auto"/>
        </w:rPr>
      </w:pPr>
    </w:p>
    <w:p>
      <w:pPr>
        <w:ind w:firstLine="1953"/>
        <w:spacing w:after="0" w:line="263" w:lineRule="auto"/>
        <w:tabs>
          <w:tab w:leader="none" w:pos="2263"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Revolving Credit Euro-Rate Option</w:t>
      </w:r>
      <w:r>
        <w:rPr>
          <w:rFonts w:ascii="Arial" w:cs="Arial" w:eastAsia="Arial" w:hAnsi="Arial"/>
          <w:sz w:val="22"/>
          <w:szCs w:val="22"/>
          <w:color w:val="auto"/>
        </w:rPr>
        <w:t>: A rate per annum (computed on the basis of a year of 360 days (and 365 or 366 days, as the case may be, for Canadian Dollar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600" w:hanging="120"/>
        <w:spacing w:after="0"/>
        <w:tabs>
          <w:tab w:leader="none" w:pos="56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57 -</w:t>
      </w:r>
    </w:p>
    <w:p>
      <w:pPr>
        <w:sectPr>
          <w:pgSz w:w="11900" w:h="16838" w:orient="portrait"/>
          <w:cols w:equalWidth="0" w:num="1">
            <w:col w:w="11420"/>
          </w:cols>
          <w:pgMar w:left="240" w:top="1428" w:right="239" w:bottom="1440" w:gutter="0" w:footer="0" w:header="0"/>
        </w:sectPr>
      </w:pPr>
    </w:p>
    <w:bookmarkStart w:id="71" w:name="page72"/>
    <w:bookmarkEnd w:id="71"/>
    <w:p>
      <w:pPr>
        <w:jc w:val="both"/>
        <w:ind w:right="20"/>
        <w:spacing w:after="0" w:line="312" w:lineRule="auto"/>
        <w:rPr>
          <w:sz w:val="20"/>
          <w:szCs w:val="20"/>
          <w:color w:val="auto"/>
        </w:rPr>
      </w:pPr>
      <w:r>
        <w:rPr>
          <w:rFonts w:ascii="Arial" w:cs="Arial" w:eastAsia="Arial" w:hAnsi="Arial"/>
          <w:sz w:val="19"/>
          <w:szCs w:val="19"/>
          <w:color w:val="auto"/>
        </w:rPr>
        <w:t xml:space="preserve">Loans) and actual days elapsed) equal to the Euro-Rate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provided, however, in the case of interest in respect of Loans denominated in Optional Currencies as to which market practice differs from the foregoing (including, without limitation, Canadian Dollars), interest shall be computed in accordance with market practice for such Optional Currency.</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Swing Loan Interest Rate Options</w:t>
      </w:r>
      <w:r>
        <w:rPr>
          <w:rFonts w:ascii="Arial" w:cs="Arial" w:eastAsia="Arial" w:hAnsi="Arial"/>
          <w:sz w:val="22"/>
          <w:szCs w:val="22"/>
          <w:color w:val="auto"/>
        </w:rPr>
        <w:t>. Subject to Section 4.3 [Interest After Default], Swing Loans shall bear interest (A) under the Base Rate Option applicable to Revolving Credit Loans or (B) at such other interest rates as the Administrative Agent and the Borrowers may agree to from time to time.</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Rate Quotations</w:t>
      </w:r>
      <w:r>
        <w:rPr>
          <w:rFonts w:ascii="Arial" w:cs="Arial" w:eastAsia="Arial" w:hAnsi="Arial"/>
          <w:sz w:val="22"/>
          <w:szCs w:val="22"/>
          <w:color w:val="auto"/>
        </w:rPr>
        <w:t>. The Borrowers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Term Loan Interest Rate Options</w:t>
      </w:r>
      <w:r>
        <w:rPr>
          <w:rFonts w:ascii="Arial" w:cs="Arial" w:eastAsia="Arial" w:hAnsi="Arial"/>
          <w:sz w:val="22"/>
          <w:szCs w:val="22"/>
          <w:color w:val="auto"/>
        </w:rPr>
        <w:t>. The Borrowers shall have the right to select from the following Interest Rate Options applicable to the Term Loans:</w:t>
      </w:r>
    </w:p>
    <w:p>
      <w:pPr>
        <w:spacing w:after="0" w:line="175" w:lineRule="exact"/>
        <w:rPr>
          <w:sz w:val="20"/>
          <w:szCs w:val="20"/>
          <w:color w:val="auto"/>
        </w:rPr>
      </w:pPr>
    </w:p>
    <w:p>
      <w:pPr>
        <w:jc w:val="both"/>
        <w:ind w:left="660" w:firstLine="645"/>
        <w:spacing w:after="0" w:line="250" w:lineRule="auto"/>
        <w:tabs>
          <w:tab w:leader="none" w:pos="15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 Loan Base Rate Option</w:t>
      </w:r>
      <w:r>
        <w:rPr>
          <w:rFonts w:ascii="Arial" w:cs="Arial" w:eastAsia="Arial" w:hAnsi="Arial"/>
          <w:sz w:val="22"/>
          <w:szCs w:val="22"/>
          <w:color w:val="auto"/>
        </w:rPr>
        <w:t>: A fluctuating rate per annum (computed on the basis of a year of three hundred sixty five (365) or three hundred sixty six (366) days, as the case may be, and actual days elapsed) equal to the Base Rate plus the Applicable Margin, such interest rate to change automatically from time to time effective as of the effective date of each change in the Base Rate; or</w:t>
      </w:r>
    </w:p>
    <w:p>
      <w:pPr>
        <w:spacing w:after="0" w:line="188" w:lineRule="exact"/>
        <w:rPr>
          <w:rFonts w:ascii="Arial" w:cs="Arial" w:eastAsia="Arial" w:hAnsi="Arial"/>
          <w:sz w:val="22"/>
          <w:szCs w:val="22"/>
          <w:color w:val="auto"/>
        </w:rPr>
      </w:pPr>
    </w:p>
    <w:p>
      <w:pPr>
        <w:ind w:left="660" w:firstLine="645"/>
        <w:spacing w:after="0" w:line="263" w:lineRule="auto"/>
        <w:tabs>
          <w:tab w:leader="none" w:pos="16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 Loan Euro-Rate Option</w:t>
      </w:r>
      <w:r>
        <w:rPr>
          <w:rFonts w:ascii="Arial" w:cs="Arial" w:eastAsia="Arial" w:hAnsi="Arial"/>
          <w:sz w:val="22"/>
          <w:szCs w:val="22"/>
          <w:color w:val="auto"/>
        </w:rPr>
        <w:t>: A rate per annum (computed on the basis of a year of three hundred sixty (360) days and actual days elapsed) equal to the Euro-Rate plus the Applicable Margin.</w:t>
      </w:r>
    </w:p>
    <w:p>
      <w:pPr>
        <w:spacing w:after="0" w:line="175" w:lineRule="exact"/>
        <w:rPr>
          <w:sz w:val="20"/>
          <w:szCs w:val="20"/>
          <w:color w:val="auto"/>
        </w:rPr>
      </w:pPr>
    </w:p>
    <w:p>
      <w:pPr>
        <w:jc w:val="both"/>
        <w:ind w:left="80" w:firstLine="648"/>
        <w:spacing w:after="0" w:line="261"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Interest Periods.</w:t>
      </w:r>
      <w:r>
        <w:rPr>
          <w:rFonts w:ascii="Arial" w:cs="Arial" w:eastAsia="Arial" w:hAnsi="Arial"/>
          <w:sz w:val="21"/>
          <w:szCs w:val="21"/>
          <w:color w:val="auto"/>
        </w:rPr>
        <w:t xml:space="preserve"> At any time when the Borrowers shall select, convert to or renew a Euro-Rate Option, the Borrowers shall notify the Administrative Agent thereof (i) at least three (3) Business Days prior to the effective date of such Euro-Rate Option with respect to a Loan denominated in Dollars and (ii) at least four (4) Business Days prior to the effective date of such Euro-Rate Option with respect to an Optional Currency Loan, by delivering a Loan Request. The notice shall specify an Interest Period during which such Interest Rate Option shall apply. Notwithstanding the preceding sentence, the following provisions shall apply to any selection of, renewal of, or conversion to a Euro-Rate Option:</w:t>
      </w:r>
    </w:p>
    <w:p>
      <w:pPr>
        <w:spacing w:after="0" w:line="180" w:lineRule="exact"/>
        <w:rPr>
          <w:sz w:val="20"/>
          <w:szCs w:val="20"/>
          <w:color w:val="auto"/>
        </w:rPr>
      </w:pPr>
    </w:p>
    <w:p>
      <w:pPr>
        <w:ind w:right="440" w:firstLine="1297"/>
        <w:spacing w:after="0" w:line="263" w:lineRule="auto"/>
        <w:rPr>
          <w:sz w:val="20"/>
          <w:szCs w:val="20"/>
          <w:color w:val="auto"/>
        </w:rPr>
      </w:pPr>
      <w:r>
        <w:rPr>
          <w:rFonts w:ascii="Arial" w:cs="Arial" w:eastAsia="Arial" w:hAnsi="Arial"/>
          <w:sz w:val="22"/>
          <w:szCs w:val="22"/>
          <w:color w:val="auto"/>
        </w:rPr>
        <w:t xml:space="preserve">4.2.1 </w:t>
      </w:r>
      <w:r>
        <w:rPr>
          <w:rFonts w:ascii="Arial" w:cs="Arial" w:eastAsia="Arial" w:hAnsi="Arial"/>
          <w:sz w:val="22"/>
          <w:szCs w:val="22"/>
          <w:u w:val="single" w:color="auto"/>
          <w:color w:val="auto"/>
        </w:rPr>
        <w:t>Amount of Borrowing Tranche</w:t>
      </w:r>
      <w:r>
        <w:rPr>
          <w:rFonts w:ascii="Arial" w:cs="Arial" w:eastAsia="Arial" w:hAnsi="Arial"/>
          <w:sz w:val="22"/>
          <w:szCs w:val="22"/>
          <w:color w:val="auto"/>
        </w:rPr>
        <w:t>. Each Borrowing Tranche of Loans under the Euro-Rate Option shall be in integral multiples of $250,000 and not less than $1,000,000; and</w:t>
      </w:r>
    </w:p>
    <w:p>
      <w:pPr>
        <w:spacing w:after="0" w:line="175"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Renewals</w:t>
      </w:r>
      <w:r>
        <w:rPr>
          <w:rFonts w:ascii="Arial" w:cs="Arial" w:eastAsia="Arial" w:hAnsi="Arial"/>
          <w:sz w:val="19"/>
          <w:szCs w:val="19"/>
          <w:color w:val="auto"/>
        </w:rPr>
        <w:t>. In the case of the renewal of a Euro-Rate Option at the end of an Interest Period, the first day of the new Interest Period shall be the last day of the preceding Interest Period, without duplication in payment of interest for such day.</w:t>
      </w:r>
    </w:p>
    <w:p>
      <w:pPr>
        <w:spacing w:after="0" w:line="105" w:lineRule="exact"/>
        <w:rPr>
          <w:sz w:val="20"/>
          <w:szCs w:val="20"/>
          <w:color w:val="auto"/>
        </w:rPr>
      </w:pPr>
    </w:p>
    <w:p>
      <w:pPr>
        <w:jc w:val="both"/>
        <w:ind w:left="80" w:right="140" w:firstLine="648"/>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Interest After Default.</w:t>
      </w:r>
      <w:r>
        <w:rPr>
          <w:rFonts w:ascii="Arial" w:cs="Arial" w:eastAsia="Arial" w:hAnsi="Arial"/>
          <w:sz w:val="19"/>
          <w:szCs w:val="19"/>
          <w:color w:val="auto"/>
        </w:rPr>
        <w:t xml:space="preserve"> To the extent permitted by Law, upon the occurrence of an Event of Default and until such time such Event of Default shall have been cured or waived, and at the discretion of the Administrative Agent or upon written demand (or as directed by the Required Lenders in their discretion) effective following notice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ectPr>
          <w:pgSz w:w="11900" w:h="16838" w:orient="portrait"/>
          <w:cols w:equalWidth="0" w:num="1">
            <w:col w:w="11420"/>
          </w:cols>
          <w:pgMar w:left="240" w:top="1428" w:right="239" w:bottom="1440" w:gutter="0" w:footer="0" w:header="0"/>
        </w:sectPr>
      </w:pPr>
    </w:p>
    <w:bookmarkStart w:id="72" w:name="page73"/>
    <w:bookmarkEnd w:id="72"/>
    <w:p>
      <w:pPr>
        <w:jc w:val="both"/>
        <w:ind w:right="200" w:firstLine="1297"/>
        <w:spacing w:after="0" w:line="253" w:lineRule="auto"/>
        <w:rPr>
          <w:sz w:val="20"/>
          <w:szCs w:val="20"/>
          <w:color w:val="auto"/>
        </w:rPr>
      </w:pPr>
      <w:r>
        <w:rPr>
          <w:rFonts w:ascii="Arial" w:cs="Arial" w:eastAsia="Arial" w:hAnsi="Arial"/>
          <w:sz w:val="22"/>
          <w:szCs w:val="22"/>
          <w:color w:val="auto"/>
        </w:rPr>
        <w:t xml:space="preserve">4.3.1 </w:t>
      </w:r>
      <w:r>
        <w:rPr>
          <w:rFonts w:ascii="Arial" w:cs="Arial" w:eastAsia="Arial" w:hAnsi="Arial"/>
          <w:sz w:val="22"/>
          <w:szCs w:val="22"/>
          <w:u w:val="single" w:color="auto"/>
          <w:color w:val="auto"/>
        </w:rPr>
        <w:t>Letter of Credit Fees, Interest Rate</w:t>
      </w:r>
      <w:r>
        <w:rPr>
          <w:rFonts w:ascii="Arial" w:cs="Arial" w:eastAsia="Arial" w:hAnsi="Arial"/>
          <w:sz w:val="22"/>
          <w:szCs w:val="22"/>
          <w:color w:val="auto"/>
        </w:rPr>
        <w:t>. The Letter of Credit Fees and the rate of interest for each Loan otherwise applicable pursuant to Section 2.8.2 [Letter of Credit Fees] or Section 4.1 [Interest Rate Options], respectively, shall be increased by 2.0% per annum;</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4.3.2 </w:t>
      </w:r>
      <w:r>
        <w:rPr>
          <w:rFonts w:ascii="Arial" w:cs="Arial" w:eastAsia="Arial" w:hAnsi="Arial"/>
          <w:sz w:val="22"/>
          <w:szCs w:val="22"/>
          <w:u w:val="single" w:color="auto"/>
          <w:color w:val="auto"/>
        </w:rPr>
        <w:t>Other Obligations</w:t>
      </w:r>
      <w:r>
        <w:rPr>
          <w:rFonts w:ascii="Arial" w:cs="Arial" w:eastAsia="Arial" w:hAnsi="Arial"/>
          <w:sz w:val="22"/>
          <w:szCs w:val="22"/>
          <w:color w:val="auto"/>
        </w:rPr>
        <w:t xml:space="preserve">. Each other Obligation hereunder if not paid when due shall bear interest at a rate per annum equal to the sum of the rate of interest applicable under the Revolving Credit Base Rate Option </w:t>
      </w:r>
      <w:r>
        <w:rPr>
          <w:rFonts w:ascii="Arial" w:cs="Arial" w:eastAsia="Arial" w:hAnsi="Arial"/>
          <w:sz w:val="22"/>
          <w:szCs w:val="22"/>
          <w:i w:val="1"/>
          <w:iCs w:val="1"/>
          <w:color w:val="auto"/>
        </w:rPr>
        <w:t>plus</w:t>
      </w:r>
      <w:r>
        <w:rPr>
          <w:rFonts w:ascii="Arial" w:cs="Arial" w:eastAsia="Arial" w:hAnsi="Arial"/>
          <w:sz w:val="22"/>
          <w:szCs w:val="22"/>
          <w:color w:val="auto"/>
        </w:rPr>
        <w:t xml:space="preserve"> an additional 2.0% per annum from the time such Obligation becomes due and payable and until it is paid in full; and</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4.3.3 </w:t>
      </w:r>
      <w:r>
        <w:rPr>
          <w:rFonts w:ascii="Arial" w:cs="Arial" w:eastAsia="Arial" w:hAnsi="Arial"/>
          <w:sz w:val="22"/>
          <w:szCs w:val="22"/>
          <w:u w:val="single" w:color="auto"/>
          <w:color w:val="auto"/>
        </w:rPr>
        <w:t>Acknowledgment</w:t>
      </w:r>
      <w:r>
        <w:rPr>
          <w:rFonts w:ascii="Arial" w:cs="Arial" w:eastAsia="Arial" w:hAnsi="Arial"/>
          <w:sz w:val="22"/>
          <w:szCs w:val="22"/>
          <w:color w:val="auto"/>
        </w:rPr>
        <w:t>. The Borrowers acknowledge that the increase in rates referred to in this Section 4.3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Euro-Rate Unascertainable; Illegality; Increased Costs; Deposits Not Available.</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4.4.1 </w:t>
      </w:r>
      <w:r>
        <w:rPr>
          <w:rFonts w:ascii="Arial" w:cs="Arial" w:eastAsia="Arial" w:hAnsi="Arial"/>
          <w:sz w:val="22"/>
          <w:szCs w:val="22"/>
          <w:u w:val="single" w:color="auto"/>
          <w:color w:val="auto"/>
        </w:rPr>
        <w:t>Unascertainable</w:t>
      </w:r>
      <w:r>
        <w:rPr>
          <w:rFonts w:ascii="Arial" w:cs="Arial" w:eastAsia="Arial" w:hAnsi="Arial"/>
          <w:sz w:val="22"/>
          <w:szCs w:val="22"/>
          <w:color w:val="auto"/>
        </w:rPr>
        <w:t>. If on any date on which a Euro-Rate would otherwise be determined, the Administrative Agent shall have determined that:</w:t>
      </w:r>
    </w:p>
    <w:p>
      <w:pPr>
        <w:spacing w:after="0" w:line="175" w:lineRule="exact"/>
        <w:rPr>
          <w:sz w:val="20"/>
          <w:szCs w:val="20"/>
          <w:color w:val="auto"/>
        </w:rPr>
      </w:pPr>
    </w:p>
    <w:p>
      <w:pPr>
        <w:ind w:left="2220" w:hanging="267"/>
        <w:spacing w:after="0"/>
        <w:tabs>
          <w:tab w:leader="none" w:pos="22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such Euro-Rate, or</w:t>
      </w:r>
    </w:p>
    <w:p>
      <w:pPr>
        <w:spacing w:after="0" w:line="219" w:lineRule="exact"/>
        <w:rPr>
          <w:rFonts w:ascii="Arial" w:cs="Arial" w:eastAsia="Arial" w:hAnsi="Arial"/>
          <w:sz w:val="22"/>
          <w:szCs w:val="22"/>
          <w:color w:val="auto"/>
        </w:rPr>
      </w:pPr>
    </w:p>
    <w:p>
      <w:pPr>
        <w:jc w:val="both"/>
        <w:ind w:firstLine="1953"/>
        <w:spacing w:after="0" w:line="253" w:lineRule="auto"/>
        <w:tabs>
          <w:tab w:leader="none" w:pos="2317"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contingency has occurred which materially and adversely affects the Relevant Interbank Market relating to the Euro-Rate, the Administrative Agent shall have the rights specified in Section 4.4.3 [Administrative Agent's and Lender's Rights].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4.4.2 </w:t>
      </w:r>
      <w:r>
        <w:rPr>
          <w:rFonts w:ascii="Arial" w:cs="Arial" w:eastAsia="Arial" w:hAnsi="Arial"/>
          <w:sz w:val="19"/>
          <w:szCs w:val="19"/>
          <w:u w:val="single" w:color="auto"/>
          <w:color w:val="auto"/>
        </w:rPr>
        <w:t>Illegality; Increased Costs; Deposits Not Available</w:t>
      </w:r>
      <w:r>
        <w:rPr>
          <w:rFonts w:ascii="Arial" w:cs="Arial" w:eastAsia="Arial" w:hAnsi="Arial"/>
          <w:sz w:val="19"/>
          <w:szCs w:val="19"/>
          <w:color w:val="auto"/>
        </w:rPr>
        <w:t>. If at any time any Lender shall have determined that:</w:t>
      </w:r>
    </w:p>
    <w:p>
      <w:pPr>
        <w:spacing w:after="0" w:line="254" w:lineRule="exact"/>
        <w:rPr>
          <w:sz w:val="20"/>
          <w:szCs w:val="20"/>
          <w:color w:val="auto"/>
        </w:rPr>
      </w:pPr>
    </w:p>
    <w:p>
      <w:pPr>
        <w:jc w:val="both"/>
        <w:ind w:firstLine="1953"/>
        <w:spacing w:after="0" w:line="312" w:lineRule="auto"/>
        <w:tabs>
          <w:tab w:leader="none" w:pos="221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making, maintenance or funding of any Loan to which a Euro-Rate Option applies has been made impracticable or unlawful by compliance by such Lender in good faith with any Law or any interpretation or application thereof by any Official Body or with any request or directive of any such Official Body (whether or not having the force of Law), or</w:t>
      </w:r>
    </w:p>
    <w:p>
      <w:pPr>
        <w:spacing w:after="0" w:line="133" w:lineRule="exact"/>
        <w:rPr>
          <w:rFonts w:ascii="Arial" w:cs="Arial" w:eastAsia="Arial" w:hAnsi="Arial"/>
          <w:sz w:val="19"/>
          <w:szCs w:val="19"/>
          <w:color w:val="auto"/>
        </w:rPr>
      </w:pPr>
    </w:p>
    <w:p>
      <w:pPr>
        <w:ind w:firstLine="1953"/>
        <w:spacing w:after="0" w:line="263" w:lineRule="auto"/>
        <w:tabs>
          <w:tab w:leader="none" w:pos="2263"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such Euro-Rate Option will not adequately and fairly reflect the cost to such Lender of the establishment or maintenance of any such Loan, or</w:t>
      </w:r>
    </w:p>
    <w:p>
      <w:pPr>
        <w:spacing w:after="0" w:line="174" w:lineRule="exact"/>
        <w:rPr>
          <w:rFonts w:ascii="Arial" w:cs="Arial" w:eastAsia="Arial" w:hAnsi="Arial"/>
          <w:sz w:val="22"/>
          <w:szCs w:val="22"/>
          <w:color w:val="auto"/>
        </w:rPr>
      </w:pPr>
    </w:p>
    <w:p>
      <w:pPr>
        <w:jc w:val="both"/>
        <w:ind w:firstLine="1953"/>
        <w:spacing w:after="0" w:line="312" w:lineRule="auto"/>
        <w:tabs>
          <w:tab w:leader="none" w:pos="2363" w:val="left"/>
        </w:tabs>
        <w:numPr>
          <w:ilvl w:val="0"/>
          <w:numId w:val="38"/>
        </w:numPr>
        <w:rPr>
          <w:rFonts w:ascii="Arial" w:cs="Arial" w:eastAsia="Arial" w:hAnsi="Arial"/>
          <w:sz w:val="19"/>
          <w:szCs w:val="19"/>
          <w:color w:val="auto"/>
        </w:rPr>
      </w:pPr>
      <w:r>
        <w:rPr>
          <w:rFonts w:ascii="Arial" w:cs="Arial" w:eastAsia="Arial" w:hAnsi="Arial"/>
          <w:sz w:val="19"/>
          <w:szCs w:val="19"/>
          <w:color w:val="auto"/>
        </w:rPr>
        <w:t>after making all reasonable efforts, deposits of the relevant amount in Dollars or in the Optional Currency (as applicable) for the relevant Interest Period for a Loan, or to banks generally, to which a Euro-Rate Option applies, respectively, are not available to such Lender with respect to such Loan, or to banks generally, in the Relevant Interbank Market,</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then the Administrative Agent shall have the rights specified in Section 4.4.3 [Administrative Agent's and Lender's Rights].</w:t>
      </w:r>
    </w:p>
    <w:p>
      <w:pPr>
        <w:spacing w:after="0" w:line="23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4.4.3 </w:t>
      </w:r>
      <w:r>
        <w:rPr>
          <w:rFonts w:ascii="Arial" w:cs="Arial" w:eastAsia="Arial" w:hAnsi="Arial"/>
          <w:sz w:val="22"/>
          <w:szCs w:val="22"/>
          <w:u w:val="single" w:color="auto"/>
          <w:color w:val="auto"/>
        </w:rPr>
        <w:t>Administrative Agent's and Lender's Rights</w:t>
      </w:r>
      <w:r>
        <w:rPr>
          <w:rFonts w:ascii="Arial" w:cs="Arial" w:eastAsia="Arial" w:hAnsi="Arial"/>
          <w:sz w:val="22"/>
          <w:szCs w:val="22"/>
          <w:color w:val="auto"/>
        </w:rPr>
        <w:t>. In the case of any event specified in Section 4.4.1 [Unascertainable] above, the Administrative Agent shall promptly so notify the Lenders and the Borrowers thereof, and in the case of an event specified in Section 4.4.2 [Illegality; Increased Costs; Deposits Not Available] above, such Lender shall promptly so notify the Administrative Agent and endorse a certificate to such notice as to the specific circumstances of such notice, and the Administrative Agent shall promptly send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ectPr>
          <w:pgSz w:w="11900" w:h="16838" w:orient="portrait"/>
          <w:cols w:equalWidth="0" w:num="1">
            <w:col w:w="11420"/>
          </w:cols>
          <w:pgMar w:left="240" w:top="1428" w:right="239" w:bottom="1440" w:gutter="0" w:footer="0" w:header="0"/>
        </w:sectPr>
      </w:pPr>
    </w:p>
    <w:bookmarkStart w:id="73" w:name="page74"/>
    <w:bookmarkEnd w:id="73"/>
    <w:p>
      <w:pPr>
        <w:jc w:val="both"/>
        <w:spacing w:after="0" w:line="285" w:lineRule="auto"/>
        <w:rPr>
          <w:sz w:val="20"/>
          <w:szCs w:val="20"/>
          <w:color w:val="auto"/>
        </w:rPr>
      </w:pPr>
      <w:r>
        <w:rPr>
          <w:rFonts w:ascii="Arial" w:cs="Arial" w:eastAsia="Arial" w:hAnsi="Arial"/>
          <w:sz w:val="19"/>
          <w:szCs w:val="19"/>
          <w:color w:val="auto"/>
        </w:rPr>
        <w:t>of such notice and certificate to the other Lenders and the Borrowers.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Borrowers to select, convert to or renew a Euro-Rate Option or select an Optional Currency (as applicable) shall be suspended until the Administrative Agent shall have later notified the Borrowers, or such Lender shall have later notified the Administrative Agent, of the Administrative Agent's or such Lender's, as the case may be, determination that the circumstances giving rise to such previous determination no longer exist. If at any time the Administrative Agent makes a determination under Section 4.4.1 [Unascertainable] and the Borrowers have previously notified the Administrative Agent of their selection of, conversion to or renewal of a Euro-Rate Option and such Interest Rate Option has not yet gone into effect, such notification shall be deemed to provide for selection of, conversion to or renewal of the Base Rate Option otherwise available with respect to such Loans. If any Lender notifies the Administrative Agent of a determination under Section 4.4.2 [Illegality; Increased Costs; Deposits Not Available], the Borrowers shall, subject to the Borrowers' indemnification Obligations under Section 5.10 [Indemnity], as to any Loan of the Lender to which a Euro-Rate Option applies, on the date specified in such notice either (i) as applicable, convert such Loan to the Base Rate Option otherwise available with respect to such Loan or select a different Optional Currency or Dollars, or (ii) prepay such Loan in accordance with Section 5.6 [Voluntary Prepayments]. Absent due notice from the Borrowers of conversion or prepayment, such Loan shall automatically be converted to the Base Rate Option otherwise available with respect to such Loan upon such specified date.</w:t>
      </w:r>
    </w:p>
    <w:p>
      <w:pPr>
        <w:spacing w:after="0" w:line="200" w:lineRule="exact"/>
        <w:rPr>
          <w:sz w:val="20"/>
          <w:szCs w:val="20"/>
          <w:color w:val="auto"/>
        </w:rPr>
      </w:pPr>
    </w:p>
    <w:p>
      <w:pPr>
        <w:spacing w:after="0" w:line="227" w:lineRule="exact"/>
        <w:rPr>
          <w:sz w:val="20"/>
          <w:szCs w:val="20"/>
          <w:color w:val="auto"/>
        </w:rPr>
      </w:pPr>
    </w:p>
    <w:p>
      <w:pPr>
        <w:jc w:val="both"/>
        <w:ind w:left="80" w:firstLine="648"/>
        <w:spacing w:after="0" w:line="24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Selection of Interest Rate Options.</w:t>
      </w:r>
      <w:r>
        <w:rPr>
          <w:rFonts w:ascii="Arial" w:cs="Arial" w:eastAsia="Arial" w:hAnsi="Arial"/>
          <w:sz w:val="22"/>
          <w:szCs w:val="22"/>
          <w:color w:val="auto"/>
        </w:rPr>
        <w:t xml:space="preserve"> If the Borrowers fail to select a new Interest Period to apply to any Borrowing Tranche of Loans under the Euro-Rate Option at the expiration of an existing Interest Period applicable to such Borrowing Tranche in accordance with the provisions of Section 4.2 [Interest Periods], the Borrowers shall be deemed to have converted such Borrowing Tranche to the Revolving Credit Base Rate Option or Term Loan Base Rate Option, as applicable, commencing upon the last day of the existing Interest Period.</w:t>
      </w:r>
    </w:p>
    <w:p>
      <w:pPr>
        <w:spacing w:after="0" w:line="192" w:lineRule="exact"/>
        <w:rPr>
          <w:sz w:val="20"/>
          <w:szCs w:val="20"/>
          <w:color w:val="auto"/>
        </w:rPr>
      </w:pPr>
    </w:p>
    <w:p>
      <w:pPr>
        <w:jc w:val="both"/>
        <w:ind w:left="80" w:firstLine="648"/>
        <w:spacing w:after="0" w:line="294"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Interest Act (Canada) Disclosure.</w:t>
      </w:r>
      <w:r>
        <w:rPr>
          <w:rFonts w:ascii="Arial" w:cs="Arial" w:eastAsia="Arial" w:hAnsi="Arial"/>
          <w:sz w:val="19"/>
          <w:szCs w:val="19"/>
          <w:color w:val="auto"/>
        </w:rPr>
        <w:t xml:space="preserve"> For the purposes of the Interest Act (Canada) and disclosure thereunder, whenever any interest or any fee to be paid hereunder or in connection herewith is to be calculated on the basis of a 360-day year or any other period less than a full year, the yearly rate of interest to which the rate used in such calculation is equivalent is the rate so used multiplied by the actual number of days in the calendar year in which the same is to be ascertained and divided by 360 or the number of days in such other period, as applicable. The rates of interest under this Agreement are nominal rates, and not effective rates or yields. The principle of deemed reinvestment of interest does not apply to any interest calculation under this Agreement.</w:t>
      </w:r>
    </w:p>
    <w:p>
      <w:pPr>
        <w:spacing w:after="0" w:line="150" w:lineRule="exact"/>
        <w:rPr>
          <w:sz w:val="20"/>
          <w:szCs w:val="20"/>
          <w:color w:val="auto"/>
        </w:rPr>
      </w:pPr>
    </w:p>
    <w:p>
      <w:pPr>
        <w:jc w:val="both"/>
        <w:ind w:left="80" w:firstLine="648"/>
        <w:spacing w:after="0" w:line="247"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Canadian Usury Provision.</w:t>
      </w:r>
      <w:r>
        <w:rPr>
          <w:rFonts w:ascii="Arial" w:cs="Arial" w:eastAsia="Arial" w:hAnsi="Arial"/>
          <w:sz w:val="22"/>
          <w:szCs w:val="22"/>
          <w:color w:val="auto"/>
        </w:rPr>
        <w:t xml:space="preserve"> If any provision of this Agreement would oblige a Canadian Borrower to make any payment of interest or other amount payable to any Lender in an amount or calculated at a rate which would be prohibited by law or would result in a receipt by that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ectPr>
          <w:pgSz w:w="11900" w:h="16838" w:orient="portrait"/>
          <w:cols w:equalWidth="0" w:num="1">
            <w:col w:w="11420"/>
          </w:cols>
          <w:pgMar w:left="240" w:top="1428" w:right="239" w:bottom="1440" w:gutter="0" w:footer="0" w:header="0"/>
        </w:sectPr>
      </w:pPr>
    </w:p>
    <w:bookmarkStart w:id="74" w:name="page75"/>
    <w:bookmarkEnd w:id="74"/>
    <w:p>
      <w:pPr>
        <w:ind w:left="72" w:right="20"/>
        <w:spacing w:after="0" w:line="263" w:lineRule="auto"/>
        <w:rPr>
          <w:sz w:val="20"/>
          <w:szCs w:val="20"/>
          <w:color w:val="auto"/>
        </w:rPr>
      </w:pPr>
      <w:r>
        <w:rPr>
          <w:rFonts w:ascii="Arial" w:cs="Arial" w:eastAsia="Arial" w:hAnsi="Arial"/>
          <w:sz w:val="22"/>
          <w:szCs w:val="22"/>
          <w:color w:val="auto"/>
        </w:rPr>
        <w:t>of "interest" at a "criminal rate", such adjustment to be effected, to the extent necessary (but only to the extent necessary), as follows:</w:t>
      </w:r>
    </w:p>
    <w:p>
      <w:pPr>
        <w:spacing w:after="0" w:line="175" w:lineRule="exact"/>
        <w:rPr>
          <w:sz w:val="20"/>
          <w:szCs w:val="20"/>
          <w:color w:val="auto"/>
        </w:rPr>
      </w:pPr>
    </w:p>
    <w:p>
      <w:pPr>
        <w:ind w:left="2212" w:hanging="267"/>
        <w:spacing w:after="0"/>
        <w:tabs>
          <w:tab w:leader="none" w:pos="2212" w:val="left"/>
        </w:tabs>
        <w:numPr>
          <w:ilvl w:val="0"/>
          <w:numId w:val="39"/>
        </w:numPr>
        <w:rPr>
          <w:rFonts w:ascii="Arial" w:cs="Arial" w:eastAsia="Arial" w:hAnsi="Arial"/>
          <w:sz w:val="22"/>
          <w:szCs w:val="22"/>
          <w:color w:val="auto"/>
        </w:rPr>
      </w:pPr>
      <w:r>
        <w:rPr>
          <w:rFonts w:ascii="Arial" w:cs="Arial" w:eastAsia="Arial" w:hAnsi="Arial"/>
          <w:sz w:val="22"/>
          <w:szCs w:val="22"/>
          <w:color w:val="auto"/>
        </w:rPr>
        <w:t>first, by reducing the amount or rate of interest; and</w:t>
      </w:r>
    </w:p>
    <w:p>
      <w:pPr>
        <w:spacing w:after="0" w:line="219" w:lineRule="exact"/>
        <w:rPr>
          <w:rFonts w:ascii="Arial" w:cs="Arial" w:eastAsia="Arial" w:hAnsi="Arial"/>
          <w:sz w:val="22"/>
          <w:szCs w:val="22"/>
          <w:color w:val="auto"/>
        </w:rPr>
      </w:pPr>
    </w:p>
    <w:p>
      <w:pPr>
        <w:ind w:left="-8" w:firstLine="1953"/>
        <w:spacing w:after="0" w:line="287" w:lineRule="auto"/>
        <w:tabs>
          <w:tab w:leader="none" w:pos="2255"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thereafter, by reducing any fees, commissions, costs, expenses, premiums and other amounts required to be paid which would constitute interest for purposes of Section 347 of the </w:t>
      </w:r>
      <w:r>
        <w:rPr>
          <w:rFonts w:ascii="Arial" w:cs="Arial" w:eastAsia="Arial" w:hAnsi="Arial"/>
          <w:sz w:val="21"/>
          <w:szCs w:val="21"/>
          <w:i w:val="1"/>
          <w:iCs w:val="1"/>
          <w:color w:val="auto"/>
        </w:rPr>
        <w:t>Criminal Code</w:t>
      </w:r>
      <w:r>
        <w:rPr>
          <w:rFonts w:ascii="Arial" w:cs="Arial" w:eastAsia="Arial" w:hAnsi="Arial"/>
          <w:sz w:val="21"/>
          <w:szCs w:val="21"/>
          <w:color w:val="auto"/>
        </w:rPr>
        <w:t xml:space="preserve"> (Canada).</w:t>
      </w:r>
    </w:p>
    <w:p>
      <w:pPr>
        <w:spacing w:after="0" w:line="152" w:lineRule="exact"/>
        <w:rPr>
          <w:sz w:val="20"/>
          <w:szCs w:val="20"/>
          <w:color w:val="auto"/>
        </w:rPr>
      </w:pPr>
    </w:p>
    <w:p>
      <w:pPr>
        <w:jc w:val="both"/>
        <w:ind w:left="72" w:firstLine="648"/>
        <w:spacing w:after="0" w:line="288"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Successor Euro-Rate Index.</w:t>
      </w:r>
      <w:r>
        <w:rPr>
          <w:rFonts w:ascii="Arial" w:cs="Arial" w:eastAsia="Arial" w:hAnsi="Arial"/>
          <w:sz w:val="19"/>
          <w:szCs w:val="19"/>
          <w:color w:val="auto"/>
        </w:rPr>
        <w:t>(i) If the Administrative Agent determines (which determination shall be final and conclusive, absent manifest error) that either (a) (i) the circumstances set forth in Section 4.4 [Euro-Rate Unascertainable, Etc.] have arisen and are unlikely to be temporary, or (ii) the circumstances set forth in Section 4.4 have not arisen but the applicable supervisor or administrator (if any) of any Euro-Rate or an Official Body having jurisdiction over the Administrative Agent has made a public statement identifying the specific date after which such Euro-Rate shall no longer be used for determining interest rates for loans (either such date, a "</w:t>
      </w:r>
      <w:r>
        <w:rPr>
          <w:rFonts w:ascii="Arial" w:cs="Arial" w:eastAsia="Arial" w:hAnsi="Arial"/>
          <w:sz w:val="19"/>
          <w:szCs w:val="19"/>
          <w:b w:val="1"/>
          <w:bCs w:val="1"/>
          <w:color w:val="auto"/>
        </w:rPr>
        <w:t>Euro-Rate Termination Date</w:t>
      </w:r>
      <w:r>
        <w:rPr>
          <w:rFonts w:ascii="Arial" w:cs="Arial" w:eastAsia="Arial" w:hAnsi="Arial"/>
          <w:sz w:val="19"/>
          <w:szCs w:val="19"/>
          <w:color w:val="auto"/>
        </w:rPr>
        <w:t>"), or (b) a rate other than the Euro Rate has become a widely recognized benchmark rate for newly originated loans in the Relevant Interbank Market, then the Administrative Agent may (in consultation with the Borrower Agent) choose a replacement index for the Euro-Rate and make adjustments to applicable margins and related amendments to this Agreement as referred to below such that, to the extent practicable, the all-in interest rate based on the replacement index will be substantially equivalent to the all-in Euro-Rate-based interest rate in effect prior to its replacement.</w:t>
      </w:r>
    </w:p>
    <w:p>
      <w:pPr>
        <w:spacing w:after="0" w:line="160" w:lineRule="exact"/>
        <w:rPr>
          <w:sz w:val="20"/>
          <w:szCs w:val="20"/>
          <w:color w:val="auto"/>
        </w:rPr>
      </w:pPr>
    </w:p>
    <w:p>
      <w:pPr>
        <w:jc w:val="both"/>
        <w:ind w:left="-8" w:firstLine="1305"/>
        <w:spacing w:after="0" w:line="259" w:lineRule="auto"/>
        <w:tabs>
          <w:tab w:leader="none" w:pos="1620"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Administrative Agent and the Loan Parties shall enter into an amendment to this Agreement to reflect, as determined in accordance with the preceding clause (i) of this Section, the replacement index, the adjusted margins and such other related amendments as may be appropriate, in the discretion of the Administrative Agent (in consultation with the Borrower Agent), for the implementation and administration of the replacement index-based rate. Notwithstanding anything to the contrary in this Agreement or the other Loan Documents (including, without limitation, Section 11.1 [Modifications, Amendments or Waivers], such amendment shall become effective without any further action or consent of any other party to this Agreement at 5:00 p.m. on the tenth (10th) Business Day after the date a draft of the amendment is provided to the Lenders, unless the Administrative Agent receives, on or before such tenth (10th) Business Day, a written notice from the Required Lenders stating that such Lenders object to such amendment.</w:t>
      </w:r>
    </w:p>
    <w:p>
      <w:pPr>
        <w:spacing w:after="0" w:line="180" w:lineRule="exact"/>
        <w:rPr>
          <w:rFonts w:ascii="Arial" w:cs="Arial" w:eastAsia="Arial" w:hAnsi="Arial"/>
          <w:sz w:val="21"/>
          <w:szCs w:val="21"/>
          <w:color w:val="auto"/>
        </w:rPr>
      </w:pPr>
    </w:p>
    <w:p>
      <w:pPr>
        <w:ind w:left="1672" w:hanging="375"/>
        <w:spacing w:after="0"/>
        <w:tabs>
          <w:tab w:leader="none" w:pos="1672" w:val="left"/>
        </w:tabs>
        <w:numPr>
          <w:ilvl w:val="1"/>
          <w:numId w:val="40"/>
        </w:numPr>
        <w:rPr>
          <w:rFonts w:ascii="Arial" w:cs="Arial" w:eastAsia="Arial" w:hAnsi="Arial"/>
          <w:sz w:val="19"/>
          <w:szCs w:val="19"/>
          <w:color w:val="auto"/>
        </w:rPr>
      </w:pPr>
      <w:r>
        <w:rPr>
          <w:rFonts w:ascii="Arial" w:cs="Arial" w:eastAsia="Arial" w:hAnsi="Arial"/>
          <w:sz w:val="19"/>
          <w:szCs w:val="19"/>
          <w:color w:val="auto"/>
        </w:rPr>
        <w:t>Selection of the replacement index, adjustments to the applicable margins, and amendments to this Agreement</w:t>
      </w:r>
    </w:p>
    <w:p>
      <w:pPr>
        <w:spacing w:after="0" w:line="56" w:lineRule="exact"/>
        <w:rPr>
          <w:rFonts w:ascii="Arial" w:cs="Arial" w:eastAsia="Arial" w:hAnsi="Arial"/>
          <w:sz w:val="19"/>
          <w:szCs w:val="19"/>
          <w:color w:val="auto"/>
        </w:rPr>
      </w:pPr>
    </w:p>
    <w:p>
      <w:pPr>
        <w:jc w:val="both"/>
        <w:ind w:left="-8" w:firstLine="8"/>
        <w:spacing w:after="0" w:line="244" w:lineRule="auto"/>
        <w:tabs>
          <w:tab w:leader="none" w:pos="2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will be determined with due consideration to the then-current market practices for determining and implementing a rate of interest for newly originated loans and loans converted from a Euro-Rate-based rate to a replacement index-based rate, and (ii) may also reflect adjustments to account for (x) the effects of the transition from such Euro-Rate to the replacement index and (y) yield-or risk-based differences between such Euro-Rate and the replacement index.</w:t>
      </w:r>
    </w:p>
    <w:p>
      <w:pPr>
        <w:spacing w:after="0" w:line="195" w:lineRule="exact"/>
        <w:rPr>
          <w:rFonts w:ascii="Arial" w:cs="Arial" w:eastAsia="Arial" w:hAnsi="Arial"/>
          <w:sz w:val="22"/>
          <w:szCs w:val="22"/>
          <w:color w:val="auto"/>
        </w:rPr>
      </w:pPr>
    </w:p>
    <w:p>
      <w:pPr>
        <w:ind w:left="-8" w:right="20" w:firstLine="1305"/>
        <w:spacing w:after="0" w:line="263" w:lineRule="auto"/>
        <w:tabs>
          <w:tab w:leader="none" w:pos="1668" w:val="left"/>
        </w:tabs>
        <w:numPr>
          <w:ilvl w:val="1"/>
          <w:numId w:val="41"/>
        </w:numPr>
        <w:rPr>
          <w:rFonts w:ascii="Arial" w:cs="Arial" w:eastAsia="Arial" w:hAnsi="Arial"/>
          <w:sz w:val="22"/>
          <w:szCs w:val="22"/>
          <w:color w:val="auto"/>
        </w:rPr>
      </w:pPr>
      <w:r>
        <w:rPr>
          <w:rFonts w:ascii="Arial" w:cs="Arial" w:eastAsia="Arial" w:hAnsi="Arial"/>
          <w:sz w:val="22"/>
          <w:szCs w:val="22"/>
          <w:color w:val="auto"/>
        </w:rPr>
        <w:t>Until an amendment reflecting a new replacement index in accordance with this Section 4.8 is effective, each advance, conversion and renewal of a Loan under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592" w:hanging="120"/>
        <w:spacing w:after="0"/>
        <w:tabs>
          <w:tab w:leader="none" w:pos="5592" w:val="left"/>
        </w:tabs>
        <w:numPr>
          <w:ilvl w:val="2"/>
          <w:numId w:val="41"/>
        </w:numPr>
        <w:rPr>
          <w:rFonts w:ascii="Arial" w:cs="Arial" w:eastAsia="Arial" w:hAnsi="Arial"/>
          <w:sz w:val="22"/>
          <w:szCs w:val="22"/>
          <w:color w:val="auto"/>
        </w:rPr>
      </w:pPr>
      <w:r>
        <w:rPr>
          <w:rFonts w:ascii="Arial" w:cs="Arial" w:eastAsia="Arial" w:hAnsi="Arial"/>
          <w:sz w:val="22"/>
          <w:szCs w:val="22"/>
          <w:color w:val="auto"/>
        </w:rPr>
        <w:t>61 -</w:t>
      </w:r>
    </w:p>
    <w:p>
      <w:pPr>
        <w:sectPr>
          <w:pgSz w:w="11900" w:h="16838" w:orient="portrait"/>
          <w:cols w:equalWidth="0" w:num="1">
            <w:col w:w="11412"/>
          </w:cols>
          <w:pgMar w:left="248" w:top="1428" w:right="239" w:bottom="1440" w:gutter="0" w:footer="0" w:header="0"/>
        </w:sectPr>
      </w:pPr>
    </w:p>
    <w:bookmarkStart w:id="75" w:name="page76"/>
    <w:bookmarkEnd w:id="75"/>
    <w:p>
      <w:pPr>
        <w:jc w:val="both"/>
        <w:spacing w:after="0" w:line="294" w:lineRule="auto"/>
        <w:rPr>
          <w:sz w:val="20"/>
          <w:szCs w:val="20"/>
          <w:color w:val="auto"/>
        </w:rPr>
      </w:pPr>
      <w:r>
        <w:rPr>
          <w:rFonts w:ascii="Arial" w:cs="Arial" w:eastAsia="Arial" w:hAnsi="Arial"/>
          <w:sz w:val="19"/>
          <w:szCs w:val="19"/>
          <w:color w:val="auto"/>
        </w:rPr>
        <w:t>Euro-Rate Option will continue to bear interest with reference to the Euro-Rate; provided however, that if the Administrative Agent determines (which determination shall be final and conclusive, absent manifest error) that a Euro-Rate Termination Date has occurred, then following the Euro-Rate Termination Date, all Loans as to which the Euro-Rate Option would otherwise apply shall automatically be converted to (x) if such Loan is in Dollars, the Base Rate Option and (y) if such Loan is an Optional Currency to which such Euro-Rate Termination Date applies, a Loan in Dollars under the Base Rate Option, in each case, until such time as an amendment reflecting a replacement index and related matters as described above is implemented.</w:t>
      </w:r>
    </w:p>
    <w:p>
      <w:pPr>
        <w:spacing w:after="0" w:line="150" w:lineRule="exact"/>
        <w:rPr>
          <w:sz w:val="20"/>
          <w:szCs w:val="20"/>
          <w:color w:val="auto"/>
        </w:rPr>
      </w:pPr>
    </w:p>
    <w:p>
      <w:pPr>
        <w:ind w:firstLine="1305"/>
        <w:spacing w:after="0" w:line="263" w:lineRule="auto"/>
        <w:tabs>
          <w:tab w:leader="none" w:pos="1603"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if at any time the replacement index is less than zero, at such times, such index shall be deemed to be zero for purposes of this Agreement.</w:t>
      </w:r>
    </w:p>
    <w:p>
      <w:pPr>
        <w:spacing w:after="0" w:line="175" w:lineRule="exact"/>
        <w:rPr>
          <w:sz w:val="20"/>
          <w:szCs w:val="20"/>
          <w:color w:val="auto"/>
        </w:rPr>
      </w:pPr>
    </w:p>
    <w:p>
      <w:pPr>
        <w:ind w:left="5260" w:hanging="217"/>
        <w:spacing w:after="0"/>
        <w:tabs>
          <w:tab w:leader="none" w:pos="52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PAYMENTS</w:t>
      </w:r>
    </w:p>
    <w:p>
      <w:pPr>
        <w:spacing w:after="0" w:line="220" w:lineRule="exact"/>
        <w:rPr>
          <w:sz w:val="20"/>
          <w:szCs w:val="20"/>
          <w:color w:val="auto"/>
        </w:rPr>
      </w:pPr>
    </w:p>
    <w:p>
      <w:pPr>
        <w:ind w:left="80" w:right="20" w:firstLine="648"/>
        <w:spacing w:after="0" w:line="285"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payments and prepayments to be made in respect of principal, interest, Commitment Fees, Letter of Credit Fees, Administrative Agent's Fee or other fees or amounts due from the Borrowers hereunder shall be payable prior to 1:00 p.m. on the date when due without presentment, demand, protest or notice of any kind, all of which are hereby expressly waived by the Borrowers, and without set-off, counterclaim or other deduction of any nature, and an action therefor shall immediately accrue. Such payments shall be made to the Administrative Agent at the Principal Office for the account of PNC with respect to the Swing Loans and for the ratable accounts of the Lenders with respect to the Revolving Credit Loans or Term Loans in Dollars (unless otherwise provided herein) and in immediately available funds, and the Administrative Agent shall promptly distribute such amounts to the Lenders in immediately available funds;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payments are received by 1:00 p.m. by the Administrative Agent with respect to the Loans and such payments are not distributed to the Lenders on the same day received by the Administrative Agent, the Administrative Agent shall pay the Lenders the Federal Funds Effective Rate in the case of Loans or other amounts due in Dollars, or the Overnight Rate in the case of Loans or other amounts due in an Optional Currency,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 and shall be deemed an "account stated". All payments of principal and interest made in respect of the Loans must be repaid in the same currency (whether Dollars or the applicable Optional Currency) in which such Loan was made and all Unpaid Drawings with respect to each Letter of Credit shall be made in the same currency (whether Dollars or the applicable Optional Currency) in which such Letter of Credit was issued. The Administrative Agent may (but shall not be obligated to) debit the amount of any such payment which is not made by such time to any ordinary deposit account of the applicable Borrower with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firstLine="648"/>
        <w:spacing w:after="0" w:line="26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Pro Rata Treatment of Lenders.</w:t>
      </w:r>
      <w:r>
        <w:rPr>
          <w:rFonts w:ascii="Arial" w:cs="Arial" w:eastAsia="Arial" w:hAnsi="Arial"/>
          <w:sz w:val="22"/>
          <w:szCs w:val="22"/>
          <w:color w:val="auto"/>
        </w:rPr>
        <w:t xml:space="preserve"> Each borrowing of Revolving Credit Loans shall be allocated to each Lender according to its Ratable Share, and each selection of, conversion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ectPr>
          <w:pgSz w:w="11900" w:h="16838" w:orient="portrait"/>
          <w:cols w:equalWidth="0" w:num="1">
            <w:col w:w="11420"/>
          </w:cols>
          <w:pgMar w:left="240" w:top="1428" w:right="239" w:bottom="1440" w:gutter="0" w:footer="0" w:header="0"/>
        </w:sectPr>
      </w:pPr>
    </w:p>
    <w:bookmarkStart w:id="76" w:name="page77"/>
    <w:bookmarkEnd w:id="76"/>
    <w:p>
      <w:pPr>
        <w:jc w:val="both"/>
        <w:ind w:left="80"/>
        <w:spacing w:after="0" w:line="288" w:lineRule="auto"/>
        <w:rPr>
          <w:sz w:val="20"/>
          <w:szCs w:val="20"/>
          <w:color w:val="auto"/>
        </w:rPr>
      </w:pPr>
      <w:r>
        <w:rPr>
          <w:rFonts w:ascii="Arial" w:cs="Arial" w:eastAsia="Arial" w:hAnsi="Arial"/>
          <w:sz w:val="19"/>
          <w:szCs w:val="19"/>
          <w:color w:val="auto"/>
        </w:rPr>
        <w:t>or renewal of any Interest Rate Option and each payment or prepayment by the Borrowers with respect to principal, interest, Commitment Fees and Letter of Credit Fees, or other fees (except for the Administrative Agent's Fee and the Issuing Lender's fronting fee) or amounts due from the Borrowers hereunder to the Lenders with respect to the Commitments and Loans, shall (except as otherwise may be provided with respect to a Defaulting Lender and except as provided in Section 4.4.3 [Administrative Agent's and Lender's Rights] in the case of an event specified in Section 4.4 [Euro-Rate Unascertainable; Etc.], 5.6.2 [Replacement of a Lender] or 5,8 [Increased Costs]) be payable ratably among the Lenders entitled to such payment in accordance with the amount of principal, interest, Commitment Fees, Letter of Credit Fees, and other fees or amounts then due or payable to such Lenders as set forth in this Agreement. Notwithstanding any of the foregoing, each borrowing or payment or prepayment by the Borrowers of principal, interest, fees or other amounts due from the Borrowers solely with respect to Swing Loans shall be made by or to the Swing Loan Lender according to Section 2.5.5 [Borrowings to Repay Swing Loans].</w:t>
      </w:r>
    </w:p>
    <w:p>
      <w:pPr>
        <w:spacing w:after="0" w:line="160" w:lineRule="exact"/>
        <w:rPr>
          <w:sz w:val="20"/>
          <w:szCs w:val="20"/>
          <w:color w:val="auto"/>
        </w:rPr>
      </w:pPr>
    </w:p>
    <w:p>
      <w:pPr>
        <w:jc w:val="both"/>
        <w:ind w:left="80" w:firstLine="648"/>
        <w:spacing w:after="0" w:line="29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13" w:lineRule="exact"/>
        <w:rPr>
          <w:sz w:val="20"/>
          <w:szCs w:val="20"/>
          <w:color w:val="auto"/>
        </w:rPr>
      </w:pPr>
    </w:p>
    <w:p>
      <w:pPr>
        <w:jc w:val="both"/>
        <w:ind w:firstLine="1953"/>
        <w:spacing w:after="0" w:line="250" w:lineRule="auto"/>
        <w:tabs>
          <w:tab w:leader="none" w:pos="2230"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188" w:lineRule="exact"/>
        <w:rPr>
          <w:rFonts w:ascii="Arial" w:cs="Arial" w:eastAsia="Arial" w:hAnsi="Arial"/>
          <w:sz w:val="22"/>
          <w:szCs w:val="22"/>
          <w:color w:val="auto"/>
        </w:rPr>
      </w:pPr>
    </w:p>
    <w:p>
      <w:pPr>
        <w:jc w:val="both"/>
        <w:ind w:firstLine="1953"/>
        <w:spacing w:after="0" w:line="302" w:lineRule="auto"/>
        <w:tabs>
          <w:tab w:leader="none" w:pos="22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provisions of this Section 5.3 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Borrowers or any Subsidiary thereof (as to which the provisions of this Section 5.3 shall apply).</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ectPr>
          <w:pgSz w:w="11900" w:h="16838" w:orient="portrait"/>
          <w:cols w:equalWidth="0" w:num="1">
            <w:col w:w="11420"/>
          </w:cols>
          <w:pgMar w:left="240" w:top="1428" w:right="239" w:bottom="1440" w:gutter="0" w:footer="0" w:header="0"/>
        </w:sectPr>
      </w:pPr>
    </w:p>
    <w:bookmarkStart w:id="77" w:name="page78"/>
    <w:bookmarkEnd w:id="77"/>
    <w:p>
      <w:pPr>
        <w:jc w:val="both"/>
        <w:ind w:left="80" w:firstLine="648"/>
        <w:spacing w:after="0" w:line="288"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Presumptions by Administrative Agent.</w:t>
      </w:r>
      <w:r>
        <w:rPr>
          <w:rFonts w:ascii="Arial" w:cs="Arial" w:eastAsia="Arial" w:hAnsi="Arial"/>
          <w:sz w:val="19"/>
          <w:szCs w:val="19"/>
          <w:color w:val="auto"/>
        </w:rPr>
        <w:t xml:space="preserve"> 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Borrowers have made such payment on such date in accordance herewith and may, in reliance upon such assumption, distribute to the Lenders or the Issuing Lender, as the case may be, the amount due. In such event, if the Borrowers have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(or, for payments in an Optional Currency, the Overnight Rate) and a rate determined by the Administrative Agent in accordance with banking industry rules on interbank compensation.</w:t>
      </w:r>
    </w:p>
    <w:p>
      <w:pPr>
        <w:spacing w:after="0" w:line="160" w:lineRule="exact"/>
        <w:rPr>
          <w:sz w:val="20"/>
          <w:szCs w:val="20"/>
          <w:color w:val="auto"/>
        </w:rPr>
      </w:pPr>
    </w:p>
    <w:p>
      <w:pPr>
        <w:jc w:val="both"/>
        <w:ind w:left="80" w:firstLine="648"/>
        <w:spacing w:after="0" w:line="29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Interest Payment Dates.</w:t>
      </w:r>
      <w:r>
        <w:rPr>
          <w:rFonts w:ascii="Arial" w:cs="Arial" w:eastAsia="Arial" w:hAnsi="Arial"/>
          <w:sz w:val="19"/>
          <w:szCs w:val="19"/>
          <w:color w:val="auto"/>
        </w:rPr>
        <w:t xml:space="preserve"> Interest on Loans to which the Base Rate Option applies shall be due and payable in arrears on each Payment Date. Interest on Loans to which the Euro-Rate Option applies shall be due and payable on the last day of each Interest Period for those Loans and, if such Interest Period is longer than three (3) Months, also on the 90th day of such Interest Period. Interest on mandatory prepayments of principal under Section 5.7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Expiration Date or Maturity Date, as applicable, upon acceleration or otherwise).</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Voluntary Prepayments.</w:t>
      </w:r>
    </w:p>
    <w:p>
      <w:pPr>
        <w:spacing w:after="0" w:line="2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5.6.1 </w:t>
      </w:r>
      <w:r>
        <w:rPr>
          <w:rFonts w:ascii="Arial" w:cs="Arial" w:eastAsia="Arial" w:hAnsi="Arial"/>
          <w:sz w:val="21"/>
          <w:szCs w:val="21"/>
          <w:u w:val="single" w:color="auto"/>
          <w:color w:val="auto"/>
        </w:rPr>
        <w:t>Right to Prepay</w:t>
      </w:r>
      <w:r>
        <w:rPr>
          <w:rFonts w:ascii="Arial" w:cs="Arial" w:eastAsia="Arial" w:hAnsi="Arial"/>
          <w:sz w:val="21"/>
          <w:szCs w:val="21"/>
          <w:color w:val="auto"/>
        </w:rPr>
        <w:t>. Each Borrower shall have the right at its option from time to time to prepay the Loans in whole or part without premium or penalty (except as provided in Section 5.6.2 [Replacement of a Lender] below, in Section 5.8 [Increased Costs] and Section 5.10 [Indemnity]). Whenever any Borrower desires to prepay any part of the Loans, such Borrower shall provide a prepayment notice to the Administrative Agent by 1:00 p.m. at least one (1) Business Day prior to the date of prepayment of the Revolving Credit Loans or Term Loans denominated in Dollars, and at least four (4) Business Days prior to the date of prepayment of any Loans denominated in an Optional Currency, or no later than 1:00 p.m. on the date of prepayment of Swing Loans, setting forth the following information:</w:t>
      </w:r>
    </w:p>
    <w:p>
      <w:pPr>
        <w:spacing w:after="0" w:line="181" w:lineRule="exact"/>
        <w:rPr>
          <w:sz w:val="20"/>
          <w:szCs w:val="20"/>
          <w:color w:val="auto"/>
        </w:rPr>
      </w:pPr>
    </w:p>
    <w:p>
      <w:pPr>
        <w:ind w:left="1660" w:hanging="355"/>
        <w:spacing w:after="0"/>
        <w:tabs>
          <w:tab w:leader="none" w:pos="1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date, which shall be a Business Day, on which the proposed prepayment is to be made;</w:t>
      </w:r>
    </w:p>
    <w:p>
      <w:pPr>
        <w:spacing w:after="0" w:line="219" w:lineRule="exact"/>
        <w:rPr>
          <w:rFonts w:ascii="Arial" w:cs="Arial" w:eastAsia="Arial" w:hAnsi="Arial"/>
          <w:sz w:val="22"/>
          <w:szCs w:val="22"/>
          <w:color w:val="auto"/>
        </w:rPr>
      </w:pPr>
    </w:p>
    <w:p>
      <w:pPr>
        <w:ind w:left="660" w:firstLine="645"/>
        <w:spacing w:after="0" w:line="263" w:lineRule="auto"/>
        <w:tabs>
          <w:tab w:leader="none" w:pos="16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statement indicating the application of the prepayment between the Revolving Credit Loans, Term Loans and Swing Loans;</w:t>
      </w:r>
    </w:p>
    <w:p>
      <w:pPr>
        <w:spacing w:after="0" w:line="174" w:lineRule="exact"/>
        <w:rPr>
          <w:rFonts w:ascii="Arial" w:cs="Arial" w:eastAsia="Arial" w:hAnsi="Arial"/>
          <w:sz w:val="22"/>
          <w:szCs w:val="22"/>
          <w:color w:val="auto"/>
        </w:rPr>
      </w:pPr>
    </w:p>
    <w:p>
      <w:pPr>
        <w:ind w:left="660" w:firstLine="645"/>
        <w:spacing w:after="0" w:line="263" w:lineRule="auto"/>
        <w:tabs>
          <w:tab w:leader="none" w:pos="16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statement indicating the application of the prepayment between Loans to which the Base Rate Option applies and Loans to which the Euro-Rate Option applies;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600" w:hanging="120"/>
        <w:spacing w:after="0"/>
        <w:tabs>
          <w:tab w:leader="none" w:pos="56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64 -</w:t>
      </w:r>
    </w:p>
    <w:p>
      <w:pPr>
        <w:sectPr>
          <w:pgSz w:w="11900" w:h="16838" w:orient="portrait"/>
          <w:cols w:equalWidth="0" w:num="1">
            <w:col w:w="11420"/>
          </w:cols>
          <w:pgMar w:left="240" w:top="1428" w:right="239" w:bottom="1440" w:gutter="0" w:footer="0" w:header="0"/>
        </w:sectPr>
      </w:pPr>
    </w:p>
    <w:bookmarkStart w:id="78" w:name="page79"/>
    <w:bookmarkEnd w:id="78"/>
    <w:p>
      <w:pPr>
        <w:jc w:val="both"/>
        <w:ind w:left="660" w:firstLine="645"/>
        <w:spacing w:after="0" w:line="253" w:lineRule="auto"/>
        <w:tabs>
          <w:tab w:leader="none" w:pos="160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total principal amount of such prepayment, which shall not be less than the lesser of (i) the Revolving Facility Usage or (ii) $100,000 for any Swing Loan, $1,000,000 for any Optional Currency Loan or $1,000,000 for any Revolving Credit Loan or Term Loan.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All prepayment notices shall be irrevocable. The principal amount of the Loans for which a prepayment notice is given, together with interest on such principal amount except with respect to Loans to which the Base Rate Option applies, shall be due and payable on the date specified in such prepayment notice as the date on which the proposed prepayment is to be made. All Term Loan prepayments permitted pursuant to this Section 5.6.1 [Right to Prepay] shall be applied to the unpaid installments of principal of the Term Loans in the inverse order of scheduled maturities. Except as provided in Section 4.4.3 [Administrative Agent's and Lender's Rights], if the Borrowers prepay a Loan but fails to specify the applicable Borrowing Tranche which the Borrowers are prepaying, the prepayment shall be applied (i) first to Revolving Credit Loans and then to Term Loans; and (ii) after giving effect to the allocations in clause (i) above and in the preceding sentence, first to Revolving Credit Loans and Term Loans to which the Base Rate Option applies, then to Revolving Credit Loans to which the Euro-Rate Option applies which are not in Optional Currencies and the Term Loans to which the Euro-Rate Option applies, then to Revolving Credit Loans denominated in Optional Currencies, and then to Swing Loans which the Base Rate Option applies. Any prepayment hereunder shall be subject to the Borrowers' Obligation to indemnify the Lenders under Section 5.10 [Indemnity]. Prepayments shall be made in the currency in which such Loan was made, unless otherwise directed by the Administrative Agent.</w:t>
      </w:r>
    </w:p>
    <w:p>
      <w:pPr>
        <w:spacing w:after="0" w:line="167"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 xml:space="preserve">5.6.2 5.6.2 5.6.3 </w:t>
      </w:r>
      <w:r>
        <w:rPr>
          <w:rFonts w:ascii="Arial" w:cs="Arial" w:eastAsia="Arial" w:hAnsi="Arial"/>
          <w:sz w:val="19"/>
          <w:szCs w:val="19"/>
          <w:u w:val="single" w:color="auto"/>
          <w:color w:val="auto"/>
        </w:rPr>
        <w:t>Replacement of a Lender</w:t>
      </w:r>
      <w:r>
        <w:rPr>
          <w:rFonts w:ascii="Arial" w:cs="Arial" w:eastAsia="Arial" w:hAnsi="Arial"/>
          <w:sz w:val="19"/>
          <w:szCs w:val="19"/>
          <w:color w:val="auto"/>
        </w:rPr>
        <w:t xml:space="preserve">. In the event any Lender (i) gives notice under Section 4.4 [Euro-Rate Unascertainable, Etc.], (ii) requests compensation under Section 5.8 [Increased Costs], or requires the Borrowers to pay any additional amount to any Lender or any Official Body for the account of any Lender pursuant to Section 5.9 [Taxes], (iii) is a Defaulting Lender, (iv) becomes subject to the control of an Official Body (other than normal and customary supervision), or (v) is a Non-Consenting Lender referred to in Section 12.1 [Modifications, Amendments or Waivers], then in any such event the Borrowers may, at their sole expense, upon notice to such Lender and the Administrative Agent, require such Lender to assign and delegate, without recourse (in accordance with and subject to the restrictions contained in, and consents required by, Section 12.8 [Successors and Assigns]),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0" w:lineRule="exact"/>
        <w:rPr>
          <w:sz w:val="20"/>
          <w:szCs w:val="20"/>
          <w:color w:val="auto"/>
        </w:rPr>
      </w:pPr>
    </w:p>
    <w:p>
      <w:pPr>
        <w:ind w:firstLine="1953"/>
        <w:spacing w:after="0" w:line="263" w:lineRule="auto"/>
        <w:tabs>
          <w:tab w:leader="none" w:pos="22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Borrowers shall have paid to the Administrative Agent the assignment fee specified in Section 12.8 [Successors and Assigns];</w:t>
      </w:r>
    </w:p>
    <w:p>
      <w:pPr>
        <w:spacing w:after="0" w:line="174" w:lineRule="exact"/>
        <w:rPr>
          <w:rFonts w:ascii="Arial" w:cs="Arial" w:eastAsia="Arial" w:hAnsi="Arial"/>
          <w:sz w:val="22"/>
          <w:szCs w:val="22"/>
          <w:color w:val="auto"/>
        </w:rPr>
      </w:pPr>
    </w:p>
    <w:p>
      <w:pPr>
        <w:jc w:val="both"/>
        <w:ind w:firstLine="1953"/>
        <w:spacing w:after="0" w:line="253" w:lineRule="auto"/>
        <w:tabs>
          <w:tab w:leader="none" w:pos="2276"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Lender shall have received payment of an amount equal to the outstanding principal of its Loans and Participation Advances, accrued interest thereon, accrued fees and all other amounts payable to it hereunder and under the other Loan Documents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600" w:hanging="120"/>
        <w:spacing w:after="0"/>
        <w:tabs>
          <w:tab w:leader="none" w:pos="5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65 -</w:t>
      </w:r>
    </w:p>
    <w:p>
      <w:pPr>
        <w:sectPr>
          <w:pgSz w:w="11900" w:h="16838" w:orient="portrait"/>
          <w:cols w:equalWidth="0" w:num="1">
            <w:col w:w="11420"/>
          </w:cols>
          <w:pgMar w:left="240" w:top="1428" w:right="23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22"/>
          <w:szCs w:val="22"/>
          <w:color w:val="auto"/>
        </w:rPr>
        <w:t>(including any amounts under Section 5.10 [Indemnity]) from the assignee (to the extent of such outstanding principal and accrued interest and fees) or the Borrowers (in the case of all other amounts);</w:t>
      </w:r>
    </w:p>
    <w:p>
      <w:pPr>
        <w:spacing w:after="0" w:line="175" w:lineRule="exact"/>
        <w:rPr>
          <w:sz w:val="20"/>
          <w:szCs w:val="20"/>
          <w:color w:val="auto"/>
        </w:rPr>
      </w:pPr>
    </w:p>
    <w:p>
      <w:pPr>
        <w:jc w:val="both"/>
        <w:ind w:firstLine="1953"/>
        <w:spacing w:after="0" w:line="253" w:lineRule="auto"/>
        <w:tabs>
          <w:tab w:leader="none" w:pos="2323"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claim for compensation under Section 5.8 [Increased Costs] or payments required to be made pursuant to Section 5.9 [Taxes], such assignment will result in a reduction in such compensation or payments thereafter; and</w:t>
      </w:r>
    </w:p>
    <w:p>
      <w:pPr>
        <w:spacing w:after="0" w:line="185" w:lineRule="exact"/>
        <w:rPr>
          <w:rFonts w:ascii="Arial" w:cs="Arial" w:eastAsia="Arial" w:hAnsi="Arial"/>
          <w:sz w:val="22"/>
          <w:szCs w:val="22"/>
          <w:color w:val="auto"/>
        </w:rPr>
      </w:pPr>
    </w:p>
    <w:p>
      <w:pPr>
        <w:ind w:left="2320" w:hanging="367"/>
        <w:spacing w:after="0"/>
        <w:tabs>
          <w:tab w:leader="none" w:pos="23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2" w:lineRule="exact"/>
        <w:rPr>
          <w:sz w:val="20"/>
          <w:szCs w:val="20"/>
          <w:color w:val="auto"/>
        </w:rPr>
      </w:pPr>
    </w:p>
    <w:p>
      <w:pPr>
        <w:jc w:val="both"/>
        <w:ind w:left="1300"/>
        <w:spacing w:after="0" w:line="284" w:lineRule="auto"/>
        <w:rPr>
          <w:sz w:val="20"/>
          <w:szCs w:val="20"/>
          <w:color w:val="auto"/>
        </w:rPr>
      </w:pPr>
      <w:r>
        <w:rPr>
          <w:rFonts w:ascii="Arial" w:cs="Arial" w:eastAsia="Arial" w:hAnsi="Arial"/>
          <w:sz w:val="19"/>
          <w:szCs w:val="19"/>
          <w:color w:val="auto"/>
        </w:rPr>
        <w:t xml:space="preserve">5.6.3 </w:t>
      </w: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If any Lender requests compensation under Section 5.8 [Increased Costs], or the Borrower is or will be required to pay any Indemnified Taxes or additional amounts to any Lender or any Official Body for the account of any Lender pursuant to Section 5.9 [Taxes], then such Lender shall (at the request of the Borrowers)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5.8 [Increased Costs] or Section 5.9 [Taxes], as the case may be, in the future, and</w:t>
      </w:r>
    </w:p>
    <w:p>
      <w:pPr>
        <w:spacing w:after="0" w:line="4" w:lineRule="exact"/>
        <w:rPr>
          <w:sz w:val="20"/>
          <w:szCs w:val="20"/>
          <w:color w:val="auto"/>
        </w:rPr>
      </w:pPr>
    </w:p>
    <w:p>
      <w:pPr>
        <w:jc w:val="both"/>
        <w:ind w:left="1300" w:firstLine="5"/>
        <w:spacing w:after="0" w:line="262" w:lineRule="auto"/>
        <w:tabs>
          <w:tab w:leader="none" w:pos="16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would not subject such Lender to any material unreimbursed cost or expense and would not otherwise be materially disadvantageous to such Lender. The Borrower hereby agrees to pay all reasonable costs and expenses incurred by any Lender in connection with any such designation or assignment.</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Mandatory Prepayments.</w:t>
      </w:r>
    </w:p>
    <w:p>
      <w:pPr>
        <w:spacing w:after="0" w:line="22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5.7.1 </w:t>
      </w:r>
      <w:r>
        <w:rPr>
          <w:rFonts w:ascii="Arial" w:cs="Arial" w:eastAsia="Arial" w:hAnsi="Arial"/>
          <w:sz w:val="19"/>
          <w:szCs w:val="19"/>
          <w:u w:val="single" w:color="auto"/>
          <w:color w:val="auto"/>
        </w:rPr>
        <w:t>Revolving Facility Usage exceeds Revolving Credit Commitments</w:t>
      </w:r>
      <w:r>
        <w:rPr>
          <w:rFonts w:ascii="Arial" w:cs="Arial" w:eastAsia="Arial" w:hAnsi="Arial"/>
          <w:sz w:val="19"/>
          <w:szCs w:val="19"/>
          <w:color w:val="auto"/>
        </w:rPr>
        <w:t xml:space="preserve">. If on any date (after giving effect to any other payments on such date) (A) the aggregate Dollar Equivalent amount of Revolving Facility Usage exceeds the aggregate Revolving Credit Commitments, (B) the Dollar Equivalent amount of Revolving Credit Loans from a Lender exceeds such Lender's Revolving Credit Commitment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such Lender's Ratable Share of the Dollar Equivalent amount of Letter of Credit Obligations, or (C) the Swing Loans outstanding exceed the Swing Loan Commitment; then, in the case of each of the foregoing, the applicable Borrower or the Company shall prepay on such date the principal amount of the Revolving Credit Loans and, after such Revolving Credit Loans have been paid in full, any Unpaid Drawings, in an aggregate amount at least equal to such excess and conforming in the case of partial prepayments of Revolving Credit Loans to the requirements as to the amounts of partial prepayments of Loans that are contained in Section 5.6 [Voluntary Prepayments]; provided, however, that if such excess results solely from fluctuations in the exchange rates related to any Optional Currencies applicable to any of the Loans or Unpaid Drawings, then neither the applicable Borrower nor the Company shall be obligated to make a prepayment pursuant to this Section 5.7.3 [Revolving Facility Usage exceeds Revolving Credit Commitments] unless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ectPr>
          <w:pgSz w:w="11900" w:h="16838" w:orient="portrait"/>
          <w:cols w:equalWidth="0" w:num="1">
            <w:col w:w="11420"/>
          </w:cols>
          <w:pgMar w:left="240" w:top="1428" w:right="2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2"/>
          <w:szCs w:val="22"/>
          <w:color w:val="auto"/>
        </w:rPr>
        <w:t xml:space="preserve">until (1) the aggregate Dollar Equivalent amount of Revolving Facility Usage exceeds 100% of the aggregate of the Revolving Credit Commitments, or (2) the Dollar Equivalent amount of Revolving Credit Loans from a Lender exceeds 100% of such Lender's Revolving Credit Commitment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such Lender's Ratable Share of the Dollar Equivalent amount of Letter of Credit Obligations.</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5.7.2 </w:t>
      </w:r>
      <w:r>
        <w:rPr>
          <w:rFonts w:ascii="Arial" w:cs="Arial" w:eastAsia="Arial" w:hAnsi="Arial"/>
          <w:sz w:val="21"/>
          <w:szCs w:val="21"/>
          <w:u w:val="single" w:color="auto"/>
          <w:color w:val="auto"/>
        </w:rPr>
        <w:t>Application Among Interest Rate Options</w:t>
      </w:r>
      <w:r>
        <w:rPr>
          <w:rFonts w:ascii="Arial" w:cs="Arial" w:eastAsia="Arial" w:hAnsi="Arial"/>
          <w:sz w:val="21"/>
          <w:szCs w:val="21"/>
          <w:color w:val="auto"/>
        </w:rPr>
        <w:t>. All prepayments required pursuant to this Section 5.7 shall first be applied among the Interest Rate Options to the principal amount of the Loans subject to the Base Rate Option, then to Loans denominated in Dollars and subject to a Euro-Rate Option, then to Loans in Optional Currencies subject to the Euro-Rate Option, and the Borrowers will be subject to the indemnity obligations set forth in Section 5.8 [Increased Costs] and Section 5.9 [Taxes]. In accordance with Section 5.10 [Indemnity], each Borrower shall indemnify the Lenders for any loss or expense, including loss of margin, incurred with respect to any such prepayments applied against Loans subject to a Euro-Rate Option on any day other than the last day of the applicable Interest Period.</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5.7.3 </w:t>
      </w: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on any date the Dollar Equivalent of Letter of Credit Obligations exceeds the Letter of Credit Sublimit, then the Borrowers shall pay to the Administrative Agent an amount in cash equal to such excess and the Administrative Agent shall hold such payment as security for the Reimbursement Obligations of the Borrowers hereunder in respect of Letters of Credit; provided, however, that if such excess results solely from fluctuations in the exchange rates related to any Optional Currencies applicable to any of the Letter of Credit Obligations, then the Borrowers shall not be obligated to make a cash payment to the Administrative Agent pursuant to this Section 5.7.3 unless and/or until such Letter of Credit Obligations equal or exceed 100% of the Letter of Credit Sublimit. At such time as the Letter of Credit Obligations no longer are equal to or in excess of 100% of the Letter of Credit Sublimit, the Administrative Agent shall release the cash collateral payment to the Borrowers.</w:t>
      </w:r>
    </w:p>
    <w:p>
      <w:pPr>
        <w:spacing w:after="0" w:line="15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5.7.4 </w:t>
      </w:r>
      <w:r>
        <w:rPr>
          <w:rFonts w:ascii="Arial" w:cs="Arial" w:eastAsia="Arial" w:hAnsi="Arial"/>
          <w:sz w:val="22"/>
          <w:szCs w:val="22"/>
          <w:u w:val="single" w:color="auto"/>
          <w:color w:val="auto"/>
        </w:rPr>
        <w:t>Application of Prepayments</w:t>
      </w:r>
      <w:r>
        <w:rPr>
          <w:rFonts w:ascii="Arial" w:cs="Arial" w:eastAsia="Arial" w:hAnsi="Arial"/>
          <w:sz w:val="22"/>
          <w:szCs w:val="22"/>
          <w:color w:val="auto"/>
        </w:rPr>
        <w:t>. All prepayments pursuant to Section 5.7.1 [Revolving Facility Usage exceeds Revolving Credit Commitments] shall be applied to reduce the Revolving Credit Loans (without a permanent corresponding Revolving Credit Commitment reduction unless otherwise provided in this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5.7.5 </w:t>
      </w:r>
      <w:r>
        <w:rPr>
          <w:rFonts w:ascii="Arial" w:cs="Arial" w:eastAsia="Arial" w:hAnsi="Arial"/>
          <w:sz w:val="22"/>
          <w:szCs w:val="22"/>
          <w:u w:val="single" w:color="auto"/>
          <w:color w:val="auto"/>
        </w:rPr>
        <w:t>No Deemed Cure</w:t>
      </w:r>
      <w:r>
        <w:rPr>
          <w:rFonts w:ascii="Arial" w:cs="Arial" w:eastAsia="Arial" w:hAnsi="Arial"/>
          <w:sz w:val="22"/>
          <w:szCs w:val="22"/>
          <w:color w:val="auto"/>
        </w:rPr>
        <w:t>. The payment of any mandatory prepayment as required by this Section 5.7 shall not be deemed to cure any Event of Default caused under another provision of this Agreement by the same occurrence which gave rise to the mandatory prepayment obligation under this Section.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5.7.6 </w:t>
      </w:r>
      <w:r>
        <w:rPr>
          <w:rFonts w:ascii="Arial" w:cs="Arial" w:eastAsia="Arial" w:hAnsi="Arial"/>
          <w:sz w:val="19"/>
          <w:szCs w:val="19"/>
          <w:u w:val="single" w:color="auto"/>
          <w:color w:val="auto"/>
        </w:rPr>
        <w:t>Additional Mandatory Prepayments</w:t>
      </w:r>
      <w:r>
        <w:rPr>
          <w:rFonts w:ascii="Arial" w:cs="Arial" w:eastAsia="Arial" w:hAnsi="Arial"/>
          <w:sz w:val="19"/>
          <w:szCs w:val="19"/>
          <w:color w:val="auto"/>
        </w:rPr>
        <w:t>. In addition to any other mandatory prepayments required pursuant to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5.7, the applicable Borrower or the Company shall make mandatory prepayments of principal as follows:</w:t>
      </w:r>
    </w:p>
    <w:p>
      <w:pPr>
        <w:spacing w:after="0" w:line="229" w:lineRule="exact"/>
        <w:rPr>
          <w:sz w:val="20"/>
          <w:szCs w:val="20"/>
          <w:color w:val="auto"/>
        </w:rPr>
      </w:pPr>
    </w:p>
    <w:p>
      <w:pPr>
        <w:jc w:val="both"/>
        <w:ind w:firstLine="1791"/>
        <w:spacing w:after="0" w:line="247" w:lineRule="auto"/>
        <w:tabs>
          <w:tab w:leader="none" w:pos="20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Borrower or any of its Subsidiaries receives Net Cash Proceeds from any sale of assets authorized under clauses (iv) and (vi) of Section 8.2.7 [Disposition of Assets or Subsidiaries], within thirty (30) Business Days of receipt of Net Cash Proceeds from such sale or the aggregate Net Cash Proceeds of all such sales in any fiscal year exceeding Five Million and 00/100 Dollars ($5,000,000.00), the Borrowers shall make a mandatory prepayment of principal on the Loans to be applied in accordance with Section 5.7.2 [Application Among Interest Rate Options] equal to 100% of such Net Cash Proceeds of such sale(s) together with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4" w:lineRule="exact"/>
        <w:rPr>
          <w:rFonts w:ascii="Arial" w:cs="Arial" w:eastAsia="Arial" w:hAnsi="Arial"/>
          <w:sz w:val="22"/>
          <w:szCs w:val="22"/>
          <w:color w:val="auto"/>
        </w:rPr>
      </w:pPr>
    </w:p>
    <w:p>
      <w:pPr>
        <w:ind w:left="5600" w:hanging="120"/>
        <w:spacing w:after="0"/>
        <w:tabs>
          <w:tab w:leader="none" w:pos="56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67 -</w:t>
      </w:r>
    </w:p>
    <w:p>
      <w:pPr>
        <w:sectPr>
          <w:pgSz w:w="11900" w:h="16838" w:orient="portrait"/>
          <w:cols w:equalWidth="0" w:num="1">
            <w:col w:w="11420"/>
          </w:cols>
          <w:pgMar w:left="240" w:top="1428" w:right="2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accrued interest on such principal amount. The foregoing shall not be deemed to be implied consent to any such sale of assets otherwise prohibited by the terms and conditions hereof;</w:t>
      </w:r>
    </w:p>
    <w:p>
      <w:pPr>
        <w:spacing w:after="0" w:line="202" w:lineRule="exact"/>
        <w:rPr>
          <w:sz w:val="20"/>
          <w:szCs w:val="20"/>
          <w:color w:val="auto"/>
        </w:rPr>
      </w:pPr>
    </w:p>
    <w:p>
      <w:pPr>
        <w:jc w:val="both"/>
        <w:ind w:firstLine="1791"/>
        <w:spacing w:after="0" w:line="248" w:lineRule="auto"/>
        <w:tabs>
          <w:tab w:leader="none" w:pos="2114"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the Borrower or any of its Subsidiaries receives proceeds from any issuance of equity securities of the Loan Parties, within five (5) Business Days of receipt of Net Cash Proceeds from such equity issuance, the Borrowers shall make a mandatory prepayment of principal on the Loans to be applied in accordance with Section 5.7.2 [Application Among Interest Rate Options] equal to 50% of the Net Cash Proceeds of such equity issuance together with accrued interest on such principal amount; and</w:t>
      </w:r>
    </w:p>
    <w:p>
      <w:pPr>
        <w:spacing w:after="0" w:line="219" w:lineRule="exact"/>
        <w:rPr>
          <w:rFonts w:ascii="Arial" w:cs="Arial" w:eastAsia="Arial" w:hAnsi="Arial"/>
          <w:sz w:val="22"/>
          <w:szCs w:val="22"/>
          <w:color w:val="auto"/>
        </w:rPr>
      </w:pPr>
    </w:p>
    <w:p>
      <w:pPr>
        <w:ind w:left="2160" w:hanging="369"/>
        <w:spacing w:after="0"/>
        <w:tabs>
          <w:tab w:leader="none" w:pos="21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If the Borrower or any of its Subsidiaries receives Net Cash Proceeds from a Recovery Event, within thirty</w:t>
      </w:r>
    </w:p>
    <w:p>
      <w:pPr>
        <w:spacing w:after="0" w:line="56" w:lineRule="exact"/>
        <w:rPr>
          <w:rFonts w:ascii="Arial" w:cs="Arial" w:eastAsia="Arial" w:hAnsi="Arial"/>
          <w:sz w:val="19"/>
          <w:szCs w:val="19"/>
          <w:color w:val="auto"/>
        </w:rPr>
      </w:pPr>
    </w:p>
    <w:p>
      <w:pPr>
        <w:jc w:val="both"/>
        <w:ind w:firstLine="8"/>
        <w:spacing w:after="0" w:line="302" w:lineRule="auto"/>
        <w:tabs>
          <w:tab w:leader="none" w:pos="430" w:val="left"/>
        </w:tabs>
        <w:numPr>
          <w:ilvl w:val="0"/>
          <w:numId w:val="52"/>
        </w:numPr>
        <w:rPr>
          <w:rFonts w:ascii="Arial" w:cs="Arial" w:eastAsia="Arial" w:hAnsi="Arial"/>
          <w:sz w:val="19"/>
          <w:szCs w:val="19"/>
          <w:color w:val="auto"/>
        </w:rPr>
      </w:pPr>
      <w:r>
        <w:rPr>
          <w:rFonts w:ascii="Arial" w:cs="Arial" w:eastAsia="Arial" w:hAnsi="Arial"/>
          <w:sz w:val="19"/>
          <w:szCs w:val="19"/>
          <w:color w:val="auto"/>
        </w:rPr>
        <w:t>Business Days after receipt of such Net Cash Proceeds exceeding $5,000,000 in any fiscal year, the Borrowers shall make a mandatory prepayment of principal on the Loans to be applied in accordance with Section 5.7.2 [Application Among Interest Rate Options] equal to 100% of such Net Cash Proceeds exceeding $5,000,000 together with accrued interest on such principal amount.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1783"/>
        <w:spacing w:after="0" w:line="263" w:lineRule="auto"/>
        <w:rPr>
          <w:sz w:val="20"/>
          <w:szCs w:val="20"/>
          <w:color w:val="auto"/>
        </w:rPr>
      </w:pPr>
      <w:r>
        <w:rPr>
          <w:rFonts w:ascii="Arial" w:cs="Arial" w:eastAsia="Arial" w:hAnsi="Arial"/>
          <w:sz w:val="21"/>
          <w:szCs w:val="21"/>
          <w:color w:val="auto"/>
        </w:rPr>
        <w:t>All payments set forth in clauses (i) through (iii) above will be first applied to reduce the Term Loan in inverse order of scheduled maturities to the remaining principal payments without premium or penalty (subject to payment of breakage costs in the case of a prepayment of any Term Loan subject to a Euro-Rate Option other than on the last day of the relevant Interest Period for such Term Loan, or any other provisions contained in this Agreement) and then to the outstanding Revolving Credit Loans, if any. Mandatory prepayments of the Term Loan hereunder may not be reborrowed.</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Increased Costs.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5.8.1 </w:t>
      </w: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20" w:lineRule="exact"/>
        <w:rPr>
          <w:sz w:val="20"/>
          <w:szCs w:val="20"/>
          <w:color w:val="auto"/>
        </w:rPr>
      </w:pPr>
    </w:p>
    <w:p>
      <w:pPr>
        <w:jc w:val="both"/>
        <w:ind w:firstLine="1953"/>
        <w:spacing w:after="0" w:line="253" w:lineRule="auto"/>
        <w:tabs>
          <w:tab w:leader="none" w:pos="22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Euro-Rate) or the Issuing Lender;</w:t>
      </w:r>
    </w:p>
    <w:p>
      <w:pPr>
        <w:spacing w:after="0" w:line="185" w:lineRule="exact"/>
        <w:rPr>
          <w:rFonts w:ascii="Arial" w:cs="Arial" w:eastAsia="Arial" w:hAnsi="Arial"/>
          <w:sz w:val="22"/>
          <w:szCs w:val="22"/>
          <w:color w:val="auto"/>
        </w:rPr>
      </w:pPr>
    </w:p>
    <w:p>
      <w:pPr>
        <w:jc w:val="both"/>
        <w:ind w:firstLine="1953"/>
        <w:spacing w:after="0" w:line="312" w:lineRule="auto"/>
        <w:tabs>
          <w:tab w:leader="none" w:pos="2263"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spacing w:after="0" w:line="133" w:lineRule="exact"/>
        <w:rPr>
          <w:rFonts w:ascii="Arial" w:cs="Arial" w:eastAsia="Arial" w:hAnsi="Arial"/>
          <w:sz w:val="19"/>
          <w:szCs w:val="19"/>
          <w:color w:val="auto"/>
        </w:rPr>
      </w:pPr>
    </w:p>
    <w:p>
      <w:pPr>
        <w:jc w:val="both"/>
        <w:ind w:firstLine="1953"/>
        <w:spacing w:after="0" w:line="253" w:lineRule="auto"/>
        <w:tabs>
          <w:tab w:leader="none" w:pos="2323" w:val="left"/>
        </w:tabs>
        <w:numPr>
          <w:ilvl w:val="0"/>
          <w:numId w:val="53"/>
        </w:numPr>
        <w:rPr>
          <w:rFonts w:ascii="Arial" w:cs="Arial" w:eastAsia="Arial" w:hAnsi="Arial"/>
          <w:sz w:val="22"/>
          <w:szCs w:val="22"/>
          <w:color w:val="auto"/>
        </w:rPr>
      </w:pPr>
      <w:r>
        <w:rPr>
          <w:rFonts w:ascii="Arial" w:cs="Arial" w:eastAsia="Arial" w:hAnsi="Arial"/>
          <w:sz w:val="22"/>
          <w:szCs w:val="22"/>
          <w:color w:val="auto"/>
        </w:rPr>
        <w:t>impose on any Lender, the Issuing Lender or the Relevant Interbank Market any other condition, cost or expense (other than Taxes) affecting this Agreement or any Loan under the Euro-Rate Option made by such Lender or any Letter of Credit or participation therein;</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and the result of any of the foregoing shall be to increase the cost to such Lender or any other Recipient of making, converting to, continuing or maintaining any Loan under the Euro-Rate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ectPr>
          <w:pgSz w:w="11900" w:h="16838" w:orient="portrait"/>
          <w:cols w:equalWidth="0" w:num="1">
            <w:col w:w="11420"/>
          </w:cols>
          <w:pgMar w:left="240" w:top="1428" w:right="239" w:bottom="1440" w:gutter="0" w:footer="0" w:header="0"/>
        </w:sectPr>
      </w:pPr>
    </w:p>
    <w:bookmarkStart w:id="82" w:name="page83"/>
    <w:bookmarkEnd w:id="82"/>
    <w:p>
      <w:pPr>
        <w:jc w:val="both"/>
        <w:spacing w:after="0" w:line="260" w:lineRule="auto"/>
        <w:rPr>
          <w:sz w:val="20"/>
          <w:szCs w:val="20"/>
          <w:color w:val="auto"/>
        </w:rPr>
      </w:pPr>
      <w:r>
        <w:rPr>
          <w:rFonts w:ascii="Arial" w:cs="Arial" w:eastAsia="Arial" w:hAnsi="Arial"/>
          <w:sz w:val="21"/>
          <w:szCs w:val="21"/>
          <w:color w:val="auto"/>
        </w:rPr>
        <w:t>Option (or of maintaining its obligation to make any such Loan), or to increase the cost to such Lender or the Issuing Lender or such other Recipient of participating in, issuing or maintaining any Letter of Credit (or of maintaining its obligation to participate in or to issue any Letter of Credit), or to reduce the amount of any sum received or receivable by such Lender or the Issuing Lender or other Recipient hereunder (whether of principal, interest or any other amount) then, upon request of such Lender or the Issuing Lender or other Recipient, the Borrowers will pay to such Lender or the Issuing Lender or other Recipient, as the case may be, such additional amount or amounts as will compensate such Lender or the Issuing Lender, as the case may be, for such additional costs incurred or reduction suffered.</w:t>
      </w:r>
    </w:p>
    <w:p>
      <w:pPr>
        <w:spacing w:after="0" w:line="18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5.8.2 </w:t>
      </w:r>
      <w:r>
        <w:rPr>
          <w:rFonts w:ascii="Arial" w:cs="Arial" w:eastAsia="Arial" w:hAnsi="Arial"/>
          <w:sz w:val="21"/>
          <w:szCs w:val="21"/>
          <w:u w:val="single" w:color="auto"/>
          <w:color w:val="auto"/>
        </w:rPr>
        <w:t>Capital Requirements</w:t>
      </w:r>
      <w:r>
        <w:rPr>
          <w:rFonts w:ascii="Arial" w:cs="Arial" w:eastAsia="Arial" w:hAnsi="Arial"/>
          <w:sz w:val="21"/>
          <w:szCs w:val="21"/>
          <w:color w:val="auto"/>
        </w:rPr>
        <w:t>. If any Lender or the Issuing Lender determines that any Change in Law affecting such Lender or the Issuing Lender or any lending office of such Lender or such Lender's or the Issuing Lender's holding company, if any, regarding capital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Borrowers will pay to such Lender or the Issuing Lender, as the case may be, such additional amount or amounts as will compensate such Lender or the Issuing Lender or such Lender's or the Issuing Lender's holding company for any such reduction suffered.</w:t>
      </w:r>
    </w:p>
    <w:p>
      <w:pPr>
        <w:spacing w:after="0" w:line="18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5.8.3 </w:t>
      </w:r>
      <w:r>
        <w:rPr>
          <w:rFonts w:ascii="Arial" w:cs="Arial" w:eastAsia="Arial" w:hAnsi="Arial"/>
          <w:sz w:val="19"/>
          <w:szCs w:val="19"/>
          <w:u w:val="single" w:color="auto"/>
          <w:color w:val="auto"/>
        </w:rPr>
        <w:t>Certificates for Reimbursement; Repayment of Outstanding Loans; Borrowing of New Loans</w:t>
      </w:r>
      <w:r>
        <w:rPr>
          <w:rFonts w:ascii="Arial" w:cs="Arial" w:eastAsia="Arial" w:hAnsi="Arial"/>
          <w:sz w:val="19"/>
          <w:szCs w:val="19"/>
          <w:color w:val="auto"/>
        </w:rPr>
        <w:t>. A certificate of a Lender or the Issuing Lender setting forth the amount or amounts necessary to compensate such Lender or the Issuing Lender or its holding company, as the case may be, as specified in Sections 5.8.1 [Increased Costs Generally] or 5.8.2 [Capital Requirements] and setting forth in reasonable detail the calculations necessary to determine such amount or amounts, and delivered to the Borrowers shall be conclusive absent manifest error. The Borrowers shall pay such Lender or the Issuing Lender, as the case may be, the amount shown as due on any such certificate within ten (10) days after receipt thereof.</w:t>
      </w:r>
    </w:p>
    <w:p>
      <w:pPr>
        <w:spacing w:after="0" w:line="15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5.8.4 </w:t>
      </w: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the Issuing Lender to demand compensation pursuant to this Section shall not constitute a waiver of such Lender's or the Issuing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required to compensate a Lender or the Issuing Lender pursuant to this Section for any increased costs incurred or reductions suffered more than six (6) months prior to the date that such Lender or the Issuing Lender, as the case may be, notifies the Borrowers of the Change in Law giving rise to such increased costs or reductions and of such Lender's or the Issuing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8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5.8.5 </w:t>
      </w:r>
      <w:r>
        <w:rPr>
          <w:rFonts w:ascii="Arial" w:cs="Arial" w:eastAsia="Arial" w:hAnsi="Arial"/>
          <w:sz w:val="22"/>
          <w:szCs w:val="22"/>
          <w:u w:val="single" w:color="auto"/>
          <w:color w:val="auto"/>
        </w:rPr>
        <w:t>Additional Reserve Requirements</w:t>
      </w:r>
      <w:r>
        <w:rPr>
          <w:rFonts w:ascii="Arial" w:cs="Arial" w:eastAsia="Arial" w:hAnsi="Arial"/>
          <w:sz w:val="22"/>
          <w:szCs w:val="22"/>
          <w:color w:val="auto"/>
        </w:rPr>
        <w:t>. The Borrowers shall pay to each Lender (i) as long as such Lender shall be required to maintain reserves with respect to liabilities or assets consisting of or including eurocurrency funds or deposits, additional interest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ectPr>
          <w:pgSz w:w="11900" w:h="16838" w:orient="portrait"/>
          <w:cols w:equalWidth="0" w:num="1">
            <w:col w:w="11420"/>
          </w:cols>
          <w:pgMar w:left="240" w:top="1428" w:right="239" w:bottom="1440" w:gutter="0" w:footer="0" w:header="0"/>
        </w:sectPr>
      </w:pPr>
    </w:p>
    <w:bookmarkStart w:id="83" w:name="page84"/>
    <w:bookmarkEnd w:id="83"/>
    <w:p>
      <w:pPr>
        <w:spacing w:after="0" w:line="291" w:lineRule="auto"/>
        <w:rPr>
          <w:sz w:val="20"/>
          <w:szCs w:val="20"/>
          <w:color w:val="auto"/>
        </w:rPr>
      </w:pPr>
      <w:r>
        <w:rPr>
          <w:rFonts w:ascii="Arial" w:cs="Arial" w:eastAsia="Arial" w:hAnsi="Arial"/>
          <w:sz w:val="19"/>
          <w:szCs w:val="19"/>
          <w:color w:val="auto"/>
        </w:rPr>
        <w:t>unpaid principal amount of each Loan under the Euro-Rate Option equal to the actual costs of such reserves allocated to such Loan by such Lender (as determined by such Lender in good faith, which determination shall be conclusive absent manifest error), and</w:t>
      </w:r>
    </w:p>
    <w:p>
      <w:pPr>
        <w:spacing w:after="0" w:line="1" w:lineRule="exact"/>
        <w:rPr>
          <w:sz w:val="20"/>
          <w:szCs w:val="20"/>
          <w:color w:val="auto"/>
        </w:rPr>
      </w:pPr>
    </w:p>
    <w:p>
      <w:pPr>
        <w:jc w:val="both"/>
        <w:ind w:firstLine="8"/>
        <w:spacing w:after="0" w:line="256" w:lineRule="auto"/>
        <w:tabs>
          <w:tab w:leader="none" w:pos="321" w:val="left"/>
        </w:tabs>
        <w:numPr>
          <w:ilvl w:val="0"/>
          <w:numId w:val="54"/>
        </w:numPr>
        <w:rPr>
          <w:rFonts w:ascii="Arial" w:cs="Arial" w:eastAsia="Arial" w:hAnsi="Arial"/>
          <w:sz w:val="21"/>
          <w:szCs w:val="21"/>
          <w:color w:val="auto"/>
        </w:rPr>
      </w:pPr>
      <w:r>
        <w:rPr>
          <w:rFonts w:ascii="Arial" w:cs="Arial" w:eastAsia="Arial" w:hAnsi="Arial"/>
          <w:sz w:val="21"/>
          <w:szCs w:val="21"/>
          <w:color w:val="auto"/>
        </w:rPr>
        <w:t>as long as such Lender shall be required to comply with any reserve ratio requirement under Regulation D or under any similar, successor or analogous requirement of the Board of Governors of the Federal Reserve System (or any successor) or any other central banking or financial regulatory authority imposed in respect of the maintenance of the Commitments or the funding of the Loans under the Euro-Rate Option,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provided that in each case the Borrower Agent shall have received at least ten days' prior notice (with a copy to the Administrative Agent) of such additional interest or costs from such Lender. If a Lender fails to give notice ten days prior to the relevant Payment Date, such additional interest or costs shall be due and payable ten days from receipt of such notice.</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Taxes.</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5.9.1 </w:t>
      </w:r>
      <w:r>
        <w:rPr>
          <w:rFonts w:ascii="Arial" w:cs="Arial" w:eastAsia="Arial" w:hAnsi="Arial"/>
          <w:sz w:val="22"/>
          <w:szCs w:val="22"/>
          <w:u w:val="single" w:color="auto"/>
          <w:color w:val="auto"/>
        </w:rPr>
        <w:t>Issuing Lender</w:t>
      </w:r>
      <w:r>
        <w:rPr>
          <w:rFonts w:ascii="Arial" w:cs="Arial" w:eastAsia="Arial" w:hAnsi="Arial"/>
          <w:sz w:val="22"/>
          <w:szCs w:val="22"/>
          <w:color w:val="auto"/>
        </w:rPr>
        <w:t>. For purposes of this Section 5.9, the term "Lender" includes the Issuing Lender and the term "applicable Law" includes FATCA.</w:t>
      </w:r>
    </w:p>
    <w:p>
      <w:pPr>
        <w:spacing w:after="0" w:line="17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5.9.2 </w:t>
      </w: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5.9 [Taxes]) the applicable Recipient receives an amount equal to the sum it would have received had no such deduction or withholding been made.</w:t>
      </w:r>
    </w:p>
    <w:p>
      <w:pPr>
        <w:spacing w:after="0" w:line="15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5.9.3 </w:t>
      </w:r>
      <w:r>
        <w:rPr>
          <w:rFonts w:ascii="Arial" w:cs="Arial" w:eastAsia="Arial" w:hAnsi="Arial"/>
          <w:sz w:val="22"/>
          <w:szCs w:val="22"/>
          <w:u w:val="single" w:color="auto"/>
          <w:color w:val="auto"/>
        </w:rPr>
        <w:t>Payment of Other Taxes by the Loan Parties</w:t>
      </w:r>
      <w:r>
        <w:rPr>
          <w:rFonts w:ascii="Arial" w:cs="Arial" w:eastAsia="Arial" w:hAnsi="Arial"/>
          <w:sz w:val="22"/>
          <w:szCs w:val="22"/>
          <w:color w:val="auto"/>
        </w:rPr>
        <w:t>. The Loan Parties shall timely pay to the relevant Official Body in accordance with applicable Law, or at the option of the Administrative Agent timely reimburse it for the payment of, any Other Taxes.</w:t>
      </w:r>
    </w:p>
    <w:p>
      <w:pPr>
        <w:spacing w:after="0" w:line="18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5.9.4 </w:t>
      </w: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5.9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a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ectPr>
          <w:pgSz w:w="11900" w:h="16838" w:orient="portrait"/>
          <w:cols w:equalWidth="0" w:num="1">
            <w:col w:w="11420"/>
          </w:cols>
          <w:pgMar w:left="240" w:top="1428" w:right="239" w:bottom="1440" w:gutter="0" w:footer="0" w:header="0"/>
        </w:sectPr>
      </w:pPr>
    </w:p>
    <w:bookmarkStart w:id="84" w:name="page85"/>
    <w:bookmarkEnd w:id="84"/>
    <w:p>
      <w:pPr>
        <w:ind w:left="1300"/>
        <w:spacing w:after="0"/>
        <w:rPr>
          <w:sz w:val="20"/>
          <w:szCs w:val="20"/>
          <w:color w:val="auto"/>
        </w:rPr>
      </w:pPr>
      <w:r>
        <w:rPr>
          <w:rFonts w:ascii="Arial" w:cs="Arial" w:eastAsia="Arial" w:hAnsi="Arial"/>
          <w:sz w:val="19"/>
          <w:szCs w:val="19"/>
          <w:color w:val="auto"/>
        </w:rPr>
        <w:t xml:space="preserve">5.9.5 </w:t>
      </w: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ten</w:t>
      </w:r>
    </w:p>
    <w:p>
      <w:pPr>
        <w:spacing w:after="0" w:line="56" w:lineRule="exact"/>
        <w:rPr>
          <w:sz w:val="20"/>
          <w:szCs w:val="20"/>
          <w:color w:val="auto"/>
        </w:rPr>
      </w:pPr>
    </w:p>
    <w:p>
      <w:pPr>
        <w:jc w:val="both"/>
        <w:ind w:firstLine="8"/>
        <w:spacing w:after="0" w:line="256" w:lineRule="auto"/>
        <w:tabs>
          <w:tab w:leader="none" w:pos="435" w:val="left"/>
        </w:tabs>
        <w:numPr>
          <w:ilvl w:val="0"/>
          <w:numId w:val="55"/>
        </w:numPr>
        <w:rPr>
          <w:rFonts w:ascii="Arial" w:cs="Arial" w:eastAsia="Arial" w:hAnsi="Arial"/>
          <w:sz w:val="21"/>
          <w:szCs w:val="21"/>
          <w:color w:val="auto"/>
        </w:rPr>
      </w:pPr>
      <w:r>
        <w:rPr>
          <w:rFonts w:ascii="Arial" w:cs="Arial" w:eastAsia="Arial" w:hAnsi="Arial"/>
          <w:sz w:val="21"/>
          <w:szCs w:val="21"/>
          <w:color w:val="auto"/>
        </w:rPr>
        <w:t>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12.8.4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5.9.5 [Indemnification by the Lenders].</w:t>
      </w:r>
    </w:p>
    <w:p>
      <w:pPr>
        <w:spacing w:after="0" w:line="18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5.9.6 </w:t>
      </w: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Taxes by any Loan Party to an Official Body pursuant to this Section 5.9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5.9.7 </w:t>
      </w: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220" w:lineRule="exact"/>
        <w:rPr>
          <w:sz w:val="20"/>
          <w:szCs w:val="20"/>
          <w:color w:val="auto"/>
        </w:rPr>
      </w:pPr>
    </w:p>
    <w:p>
      <w:pPr>
        <w:jc w:val="both"/>
        <w:ind w:firstLine="2155"/>
        <w:spacing w:after="0" w:line="287" w:lineRule="auto"/>
        <w:tabs>
          <w:tab w:leader="none" w:pos="2432"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5.9.7(ii)(A), 5.9.7(ii)(B) and 5.9.7(ii)(D)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2480" w:hanging="325"/>
        <w:spacing w:after="0"/>
        <w:tabs>
          <w:tab w:leader="none" w:pos="24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in the event that a Borrower is a U.S. Borrower,</w:t>
      </w:r>
    </w:p>
    <w:p>
      <w:pPr>
        <w:spacing w:after="0" w:line="231" w:lineRule="exact"/>
        <w:rPr>
          <w:rFonts w:ascii="Arial" w:cs="Arial" w:eastAsia="Arial" w:hAnsi="Arial"/>
          <w:sz w:val="21"/>
          <w:szCs w:val="21"/>
          <w:color w:val="auto"/>
        </w:rPr>
      </w:pPr>
    </w:p>
    <w:p>
      <w:pPr>
        <w:ind w:firstLine="2601"/>
        <w:spacing w:after="0" w:line="263" w:lineRule="auto"/>
        <w:tabs>
          <w:tab w:leader="none" w:pos="2947"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Borrowers and the Administrative Agent on or prior to the date on which such Lender becomes 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600" w:hanging="120"/>
        <w:spacing w:after="0"/>
        <w:tabs>
          <w:tab w:leader="none" w:pos="5600" w:val="left"/>
        </w:tabs>
        <w:numPr>
          <w:ilvl w:val="2"/>
          <w:numId w:val="56"/>
        </w:numPr>
        <w:rPr>
          <w:rFonts w:ascii="Arial" w:cs="Arial" w:eastAsia="Arial" w:hAnsi="Arial"/>
          <w:sz w:val="22"/>
          <w:szCs w:val="22"/>
          <w:color w:val="auto"/>
        </w:rPr>
      </w:pPr>
      <w:r>
        <w:rPr>
          <w:rFonts w:ascii="Arial" w:cs="Arial" w:eastAsia="Arial" w:hAnsi="Arial"/>
          <w:sz w:val="22"/>
          <w:szCs w:val="22"/>
          <w:color w:val="auto"/>
        </w:rPr>
        <w:t>71 -</w:t>
      </w:r>
    </w:p>
    <w:p>
      <w:pPr>
        <w:sectPr>
          <w:pgSz w:w="11900" w:h="16838" w:orient="portrait"/>
          <w:cols w:equalWidth="0" w:num="1">
            <w:col w:w="11420"/>
          </w:cols>
          <w:pgMar w:left="240" w:top="1428" w:right="239" w:bottom="1440" w:gutter="0" w:footer="0" w:header="0"/>
        </w:sectPr>
      </w:pPr>
    </w:p>
    <w:bookmarkStart w:id="85" w:name="page86"/>
    <w:bookmarkEnd w:id="85"/>
    <w:p>
      <w:pPr>
        <w:spacing w:after="0" w:line="343" w:lineRule="auto"/>
        <w:rPr>
          <w:sz w:val="20"/>
          <w:szCs w:val="20"/>
          <w:color w:val="auto"/>
        </w:rPr>
      </w:pPr>
      <w:r>
        <w:rPr>
          <w:rFonts w:ascii="Arial" w:cs="Arial" w:eastAsia="Arial" w:hAnsi="Arial"/>
          <w:sz w:val="19"/>
          <w:szCs w:val="19"/>
          <w:color w:val="auto"/>
        </w:rPr>
        <w:t>Lender under this Agreement (and from time to time thereafter upon the reasonable request of the Borrowers or the Administrative Agent), executed originals of IRS Form W-9 certifying that such Lender is exempt from U.S. federal backup withholding tax;</w:t>
      </w:r>
    </w:p>
    <w:p>
      <w:pPr>
        <w:spacing w:after="0" w:line="105" w:lineRule="exact"/>
        <w:rPr>
          <w:sz w:val="20"/>
          <w:szCs w:val="20"/>
          <w:color w:val="auto"/>
        </w:rPr>
      </w:pPr>
    </w:p>
    <w:p>
      <w:pPr>
        <w:jc w:val="both"/>
        <w:ind w:firstLine="2601"/>
        <w:spacing w:after="0" w:line="250" w:lineRule="auto"/>
        <w:tabs>
          <w:tab w:leader="none" w:pos="2935"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spacing w:after="0" w:line="188" w:lineRule="exact"/>
        <w:rPr>
          <w:rFonts w:ascii="Arial" w:cs="Arial" w:eastAsia="Arial" w:hAnsi="Arial"/>
          <w:sz w:val="22"/>
          <w:szCs w:val="22"/>
          <w:color w:val="auto"/>
        </w:rPr>
      </w:pPr>
    </w:p>
    <w:p>
      <w:pPr>
        <w:jc w:val="both"/>
        <w:ind w:left="1300" w:firstLine="1949"/>
        <w:spacing w:after="0" w:line="294" w:lineRule="auto"/>
        <w:tabs>
          <w:tab w:leader="none" w:pos="3503" w:val="left"/>
        </w:tabs>
        <w:numPr>
          <w:ilvl w:val="2"/>
          <w:numId w:val="5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49" w:lineRule="exact"/>
        <w:rPr>
          <w:rFonts w:ascii="Arial" w:cs="Arial" w:eastAsia="Arial" w:hAnsi="Arial"/>
          <w:sz w:val="19"/>
          <w:szCs w:val="19"/>
          <w:color w:val="auto"/>
        </w:rPr>
      </w:pPr>
    </w:p>
    <w:p>
      <w:pPr>
        <w:ind w:left="3560" w:hanging="311"/>
        <w:spacing w:after="0"/>
        <w:tabs>
          <w:tab w:leader="none" w:pos="3560" w:val="left"/>
        </w:tabs>
        <w:numPr>
          <w:ilvl w:val="2"/>
          <w:numId w:val="57"/>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219" w:lineRule="exact"/>
        <w:rPr>
          <w:rFonts w:ascii="Arial" w:cs="Arial" w:eastAsia="Arial" w:hAnsi="Arial"/>
          <w:sz w:val="22"/>
          <w:szCs w:val="22"/>
          <w:color w:val="auto"/>
        </w:rPr>
      </w:pPr>
    </w:p>
    <w:p>
      <w:pPr>
        <w:jc w:val="both"/>
        <w:ind w:left="1300" w:firstLine="1949"/>
        <w:spacing w:after="0" w:line="285" w:lineRule="auto"/>
        <w:tabs>
          <w:tab w:leader="none" w:pos="3650" w:val="left"/>
        </w:tabs>
        <w:numPr>
          <w:ilvl w:val="2"/>
          <w:numId w:val="57"/>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5.9.7(A)</w:t>
      </w:r>
      <w:r>
        <w:rPr>
          <w:rFonts w:ascii="Arial" w:cs="Arial" w:eastAsia="Arial" w:hAnsi="Arial"/>
          <w:sz w:val="19"/>
          <w:szCs w:val="19"/>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left="1620" w:hanging="315"/>
        <w:spacing w:after="0"/>
        <w:tabs>
          <w:tab w:leader="none" w:pos="16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executed originals of IRS Form W-8BEN or W-8BEN-E; or</w:t>
      </w:r>
    </w:p>
    <w:p>
      <w:pPr>
        <w:spacing w:after="0" w:line="201" w:lineRule="exact"/>
        <w:rPr>
          <w:rFonts w:ascii="Arial" w:cs="Arial" w:eastAsia="Arial" w:hAnsi="Arial"/>
          <w:sz w:val="22"/>
          <w:szCs w:val="22"/>
          <w:color w:val="auto"/>
        </w:rPr>
      </w:pPr>
    </w:p>
    <w:p>
      <w:pPr>
        <w:jc w:val="both"/>
        <w:ind w:left="1300" w:firstLine="1949"/>
        <w:spacing w:after="0" w:line="246" w:lineRule="auto"/>
        <w:tabs>
          <w:tab w:leader="none" w:pos="3611" w:val="left"/>
        </w:tabs>
        <w:numPr>
          <w:ilvl w:val="2"/>
          <w:numId w:val="58"/>
        </w:numPr>
        <w:rPr>
          <w:rFonts w:ascii="Arial" w:cs="Arial" w:eastAsia="Arial" w:hAnsi="Arial"/>
          <w:sz w:val="22"/>
          <w:szCs w:val="22"/>
          <w:color w:val="auto"/>
        </w:rPr>
      </w:pPr>
      <w:r>
        <w:rPr>
          <w:rFonts w:ascii="Arial" w:cs="Arial" w:eastAsia="Arial" w:hAnsi="Arial"/>
          <w:sz w:val="22"/>
          <w:szCs w:val="22"/>
          <w:color w:val="auto"/>
        </w:rPr>
        <w:t xml:space="preserve">to the extent a Foreign Lender is not the beneficial owner, executed originals of IRS Form W-8IMY, accompanied by IRS Form W-8ECI, IRS Form W-8BEN or W-8BEN-E, a U.S. Tax Compliance Certificate substantially in the form of </w:t>
      </w:r>
      <w:r>
        <w:rPr>
          <w:rFonts w:ascii="Arial" w:cs="Arial" w:eastAsia="Arial" w:hAnsi="Arial"/>
          <w:sz w:val="22"/>
          <w:szCs w:val="22"/>
          <w:u w:val="single" w:color="auto"/>
          <w:color w:val="auto"/>
        </w:rPr>
        <w:t>Exhibit 5.9.7(B)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5.9.7(C)</w:t>
      </w:r>
      <w:r>
        <w:rPr>
          <w:rFonts w:ascii="Arial" w:cs="Arial" w:eastAsia="Arial" w:hAnsi="Arial"/>
          <w:sz w:val="22"/>
          <w:szCs w:val="22"/>
          <w:color w:val="auto"/>
        </w:rPr>
        <w:t xml:space="preserve">,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2"/>
          <w:szCs w:val="22"/>
          <w:u w:val="single" w:color="auto"/>
          <w:color w:val="auto"/>
        </w:rPr>
        <w:t>Exhibit 5.9.7(D)</w:t>
      </w:r>
      <w:r>
        <w:rPr>
          <w:rFonts w:ascii="Arial" w:cs="Arial" w:eastAsia="Arial" w:hAnsi="Arial"/>
          <w:sz w:val="22"/>
          <w:szCs w:val="22"/>
          <w:color w:val="auto"/>
        </w:rPr>
        <w:t xml:space="preserve"> on behalf of each such direct and indirect partner;</w:t>
      </w:r>
    </w:p>
    <w:p>
      <w:pPr>
        <w:spacing w:after="0" w:line="197" w:lineRule="exact"/>
        <w:rPr>
          <w:rFonts w:ascii="Arial" w:cs="Arial" w:eastAsia="Arial" w:hAnsi="Arial"/>
          <w:sz w:val="22"/>
          <w:szCs w:val="22"/>
          <w:color w:val="auto"/>
        </w:rPr>
      </w:pPr>
    </w:p>
    <w:p>
      <w:pPr>
        <w:jc w:val="both"/>
        <w:ind w:firstLine="2601"/>
        <w:spacing w:after="0" w:line="312" w:lineRule="auto"/>
        <w:tabs>
          <w:tab w:leader="none" w:pos="2935" w:val="left"/>
        </w:tabs>
        <w:numPr>
          <w:ilvl w:val="1"/>
          <w:numId w:val="5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0" w:lineRule="exact"/>
        <w:rPr>
          <w:rFonts w:ascii="Arial" w:cs="Arial" w:eastAsia="Arial" w:hAnsi="Arial"/>
          <w:sz w:val="19"/>
          <w:szCs w:val="19"/>
          <w:color w:val="auto"/>
        </w:rPr>
      </w:pPr>
    </w:p>
    <w:p>
      <w:pPr>
        <w:ind w:left="5600" w:hanging="120"/>
        <w:spacing w:after="0"/>
        <w:tabs>
          <w:tab w:leader="none" w:pos="5600" w:val="left"/>
        </w:tabs>
        <w:numPr>
          <w:ilvl w:val="3"/>
          <w:numId w:val="58"/>
        </w:numPr>
        <w:rPr>
          <w:rFonts w:ascii="Arial" w:cs="Arial" w:eastAsia="Arial" w:hAnsi="Arial"/>
          <w:sz w:val="22"/>
          <w:szCs w:val="22"/>
          <w:color w:val="auto"/>
        </w:rPr>
      </w:pPr>
      <w:r>
        <w:rPr>
          <w:rFonts w:ascii="Arial" w:cs="Arial" w:eastAsia="Arial" w:hAnsi="Arial"/>
          <w:sz w:val="22"/>
          <w:szCs w:val="22"/>
          <w:color w:val="auto"/>
        </w:rPr>
        <w:t>72 -</w:t>
      </w:r>
    </w:p>
    <w:p>
      <w:pPr>
        <w:sectPr>
          <w:pgSz w:w="11900" w:h="16838" w:orient="portrait"/>
          <w:cols w:equalWidth="0" w:num="1">
            <w:col w:w="11420"/>
          </w:cols>
          <w:pgMar w:left="240" w:top="1428" w:right="239" w:bottom="1440" w:gutter="0" w:footer="0" w:header="0"/>
        </w:sectPr>
      </w:pPr>
    </w:p>
    <w:bookmarkStart w:id="86" w:name="page87"/>
    <w:bookmarkEnd w:id="86"/>
    <w:p>
      <w:pPr>
        <w:jc w:val="both"/>
        <w:spacing w:after="0" w:line="250" w:lineRule="auto"/>
        <w:rPr>
          <w:sz w:val="20"/>
          <w:szCs w:val="20"/>
          <w:color w:val="auto"/>
        </w:rPr>
      </w:pPr>
      <w:r>
        <w:rPr>
          <w:rFonts w:ascii="Arial" w:cs="Arial" w:eastAsia="Arial" w:hAnsi="Arial"/>
          <w:sz w:val="22"/>
          <w:szCs w:val="22"/>
          <w:color w:val="auto"/>
        </w:rPr>
        <w:t>request of the Borrowers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8" w:lineRule="exact"/>
        <w:rPr>
          <w:sz w:val="20"/>
          <w:szCs w:val="20"/>
          <w:color w:val="auto"/>
        </w:rPr>
      </w:pPr>
    </w:p>
    <w:p>
      <w:pPr>
        <w:jc w:val="both"/>
        <w:ind w:firstLine="2601"/>
        <w:spacing w:after="0" w:line="258" w:lineRule="auto"/>
        <w:tabs>
          <w:tab w:leader="none" w:pos="2974"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8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5.9.8 </w:t>
      </w: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5.9 [Taxes] (including by the payment of additional amounts pursuant to this Section 5.9 [Taxes]), it shall pay to the indemnifying party an amount equal to such refund (but only to the extent of indemnity payments made under this Section 5.9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Section 5.9.8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penalties, interest or other charges imposed by the relevant Official Body) in the event that such indemnified party is required to repay such refund to such Official Body. Notwithstanding anything to the contrary in this Section 5.9.8, in no event will the indemnified party be required to pay any amount to an indemnifying party pursuant to this Section 5.9.8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ectPr>
          <w:pgSz w:w="11900" w:h="16838" w:orient="portrait"/>
          <w:cols w:equalWidth="0" w:num="1">
            <w:col w:w="11420"/>
          </w:cols>
          <w:pgMar w:left="240" w:top="1428" w:right="239" w:bottom="1440" w:gutter="0" w:footer="0" w:header="0"/>
        </w:sectPr>
      </w:pPr>
    </w:p>
    <w:bookmarkStart w:id="87" w:name="page88"/>
    <w:bookmarkEnd w:id="87"/>
    <w:p>
      <w:pPr>
        <w:jc w:val="both"/>
        <w:ind w:firstLine="1297"/>
        <w:spacing w:after="0" w:line="253" w:lineRule="auto"/>
        <w:rPr>
          <w:sz w:val="20"/>
          <w:szCs w:val="20"/>
          <w:color w:val="auto"/>
        </w:rPr>
      </w:pPr>
      <w:r>
        <w:rPr>
          <w:rFonts w:ascii="Arial" w:cs="Arial" w:eastAsia="Arial" w:hAnsi="Arial"/>
          <w:sz w:val="22"/>
          <w:szCs w:val="22"/>
          <w:color w:val="auto"/>
        </w:rPr>
        <w:t xml:space="preserve">5.9.9 </w:t>
      </w: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Section 5.9 [Taxes] shall survive the resignation of the Administrative Agent or any assignment of rights by, or the replacement of, a Lender, the termination of the Commitments and the repayment, satisfaction or discharge of all Obligations.</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5.9.10 </w:t>
      </w:r>
      <w:r>
        <w:rPr>
          <w:rFonts w:ascii="Arial" w:cs="Arial" w:eastAsia="Arial" w:hAnsi="Arial"/>
          <w:sz w:val="22"/>
          <w:szCs w:val="22"/>
          <w:u w:val="single" w:color="auto"/>
          <w:color w:val="auto"/>
        </w:rPr>
        <w:t>Tax Gross Up and Indemnities for UK Borrowers</w:t>
      </w:r>
      <w:r>
        <w:rPr>
          <w:rFonts w:ascii="Arial" w:cs="Arial" w:eastAsia="Arial" w:hAnsi="Arial"/>
          <w:sz w:val="22"/>
          <w:szCs w:val="22"/>
          <w:color w:val="auto"/>
        </w:rPr>
        <w:t xml:space="preserve">. The foregoing provisions in this Section 5.9 [Taxes] shall apply to all Loan Parties other than any UK Borrower. The provisions of </w:t>
      </w:r>
      <w:r>
        <w:rPr>
          <w:rFonts w:ascii="Arial" w:cs="Arial" w:eastAsia="Arial" w:hAnsi="Arial"/>
          <w:sz w:val="22"/>
          <w:szCs w:val="22"/>
          <w:u w:val="single" w:color="auto"/>
          <w:color w:val="auto"/>
        </w:rPr>
        <w:t>Schedule 5.9.10</w:t>
      </w:r>
      <w:r>
        <w:rPr>
          <w:rFonts w:ascii="Arial" w:cs="Arial" w:eastAsia="Arial" w:hAnsi="Arial"/>
          <w:sz w:val="22"/>
          <w:szCs w:val="22"/>
          <w:color w:val="auto"/>
        </w:rPr>
        <w:t xml:space="preserve"> shall apply in respect of payments made by any UK Borrower or any other Relevant Obligor (as defined in </w:t>
      </w:r>
      <w:r>
        <w:rPr>
          <w:rFonts w:ascii="Arial" w:cs="Arial" w:eastAsia="Arial" w:hAnsi="Arial"/>
          <w:sz w:val="22"/>
          <w:szCs w:val="22"/>
          <w:u w:val="single" w:color="auto"/>
          <w:color w:val="auto"/>
        </w:rPr>
        <w:t>Schedule 5.9.10</w:t>
      </w:r>
      <w:r>
        <w:rPr>
          <w:rFonts w:ascii="Arial" w:cs="Arial" w:eastAsia="Arial" w:hAnsi="Arial"/>
          <w:sz w:val="22"/>
          <w:szCs w:val="22"/>
          <w:color w:val="auto"/>
        </w:rPr>
        <w:t>).</w:t>
      </w:r>
    </w:p>
    <w:p>
      <w:pPr>
        <w:spacing w:after="0" w:line="186" w:lineRule="exact"/>
        <w:rPr>
          <w:sz w:val="20"/>
          <w:szCs w:val="20"/>
          <w:color w:val="auto"/>
        </w:rPr>
      </w:pPr>
    </w:p>
    <w:p>
      <w:pPr>
        <w:jc w:val="both"/>
        <w:ind w:left="80" w:firstLine="648"/>
        <w:spacing w:after="0" w:line="297"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In addition to the compensation or payments required by Section 5.8 [Increased Costs] or Section 5.9 [Taxes], the Borrowers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spacing w:after="0" w:line="147" w:lineRule="exact"/>
        <w:rPr>
          <w:sz w:val="20"/>
          <w:szCs w:val="20"/>
          <w:color w:val="auto"/>
        </w:rPr>
      </w:pPr>
    </w:p>
    <w:p>
      <w:pPr>
        <w:jc w:val="both"/>
        <w:ind w:firstLine="1953"/>
        <w:spacing w:after="0" w:line="253" w:lineRule="auto"/>
        <w:tabs>
          <w:tab w:leader="none" w:pos="22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payment, prepayment, conversion or renewal of any Loan to which a Euro-Rate Option applies on a day other than the last day of the corresponding Interest Period (whether or not such payment or prepayment is mandatory, voluntary or automatic and whether or not such payment or prepayment is then due),</w:t>
      </w:r>
    </w:p>
    <w:p>
      <w:pPr>
        <w:spacing w:after="0" w:line="185" w:lineRule="exact"/>
        <w:rPr>
          <w:rFonts w:ascii="Arial" w:cs="Arial" w:eastAsia="Arial" w:hAnsi="Arial"/>
          <w:sz w:val="22"/>
          <w:szCs w:val="22"/>
          <w:color w:val="auto"/>
        </w:rPr>
      </w:pPr>
    </w:p>
    <w:p>
      <w:pPr>
        <w:jc w:val="both"/>
        <w:ind w:firstLine="1953"/>
        <w:spacing w:after="0" w:line="253" w:lineRule="auto"/>
        <w:tabs>
          <w:tab w:leader="none" w:pos="2263" w:val="left"/>
        </w:tabs>
        <w:numPr>
          <w:ilvl w:val="0"/>
          <w:numId w:val="60"/>
        </w:numPr>
        <w:rPr>
          <w:rFonts w:ascii="Arial" w:cs="Arial" w:eastAsia="Arial" w:hAnsi="Arial"/>
          <w:sz w:val="22"/>
          <w:szCs w:val="22"/>
          <w:color w:val="auto"/>
        </w:rPr>
      </w:pPr>
      <w:r>
        <w:rPr>
          <w:rFonts w:ascii="Arial" w:cs="Arial" w:eastAsia="Arial" w:hAnsi="Arial"/>
          <w:sz w:val="22"/>
          <w:szCs w:val="22"/>
          <w:color w:val="auto"/>
        </w:rPr>
        <w:t>attempt by any Borrower to revoke (expressly, by later inconsistent notices or otherwise) in whole or part any Loan Requests under Section 2.4 [Revolving Credit Loan Requests; Swing Loan Requests] or Section 4.1.4 [Interest Periods] or notice relating to prepayments under Section 5.6 [Voluntary Prepayments], or</w:t>
      </w:r>
    </w:p>
    <w:p>
      <w:pPr>
        <w:spacing w:after="0" w:line="185" w:lineRule="exact"/>
        <w:rPr>
          <w:rFonts w:ascii="Arial" w:cs="Arial" w:eastAsia="Arial" w:hAnsi="Arial"/>
          <w:sz w:val="22"/>
          <w:szCs w:val="22"/>
          <w:color w:val="auto"/>
        </w:rPr>
      </w:pPr>
    </w:p>
    <w:p>
      <w:pPr>
        <w:jc w:val="both"/>
        <w:ind w:firstLine="1953"/>
        <w:spacing w:after="0" w:line="253" w:lineRule="auto"/>
        <w:tabs>
          <w:tab w:leader="none" w:pos="2323"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default by any Borrower in the performance or observance of any covenant or condition contained in this Agreement or any other Loan Document, including any failure of the Borrowers to pay when due (by acceleration or otherwise) any principal, interest, Commitment Fee or any other amount due hereunder.</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any Lender sustains or incurs any such loss or expense, it shall from time to time notify the Borrowers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Borrowers to such Lender ten (10) Business Days after such notice is given.</w:t>
      </w:r>
    </w:p>
    <w:p>
      <w:pPr>
        <w:spacing w:after="0" w:line="176" w:lineRule="exact"/>
        <w:rPr>
          <w:sz w:val="20"/>
          <w:szCs w:val="20"/>
          <w:color w:val="auto"/>
        </w:rPr>
      </w:pPr>
    </w:p>
    <w:p>
      <w:pPr>
        <w:jc w:val="both"/>
        <w:ind w:left="80" w:firstLine="648"/>
        <w:spacing w:after="0" w:line="247"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Settlement Date Procedures.</w:t>
      </w:r>
      <w:r>
        <w:rPr>
          <w:rFonts w:ascii="Arial" w:cs="Arial" w:eastAsia="Arial" w:hAnsi="Arial"/>
          <w:sz w:val="22"/>
          <w:szCs w:val="22"/>
          <w:color w:val="auto"/>
        </w:rPr>
        <w:t xml:space="preserve"> In order to minimize the transfer of funds between the Lenders and the Administrative Agent, the Borrowers may borrow, repay and reborrow Swing Loans and PNC may make Swing Loans as provided in Section 2.1.2 [Swing Loan Commitment] hereof during the period between Settlement Dates. The Administrative Agent shall notify each Lender of its Ratable Share of the total of the Revolving Credit Loans and the Swing Loans (each a "</w:t>
      </w:r>
      <w:r>
        <w:rPr>
          <w:rFonts w:ascii="Arial" w:cs="Arial" w:eastAsia="Arial" w:hAnsi="Arial"/>
          <w:sz w:val="22"/>
          <w:szCs w:val="22"/>
          <w:b w:val="1"/>
          <w:bCs w:val="1"/>
          <w:color w:val="auto"/>
        </w:rPr>
        <w:t>Required</w:t>
      </w:r>
      <w:r>
        <w:rPr>
          <w:rFonts w:ascii="Arial" w:cs="Arial" w:eastAsia="Arial" w:hAnsi="Arial"/>
          <w:sz w:val="22"/>
          <w:szCs w:val="22"/>
          <w:color w:val="auto"/>
        </w:rPr>
        <w:t xml:space="preserve"> </w:t>
      </w:r>
      <w:r>
        <w:rPr>
          <w:rFonts w:ascii="Arial" w:cs="Arial" w:eastAsia="Arial" w:hAnsi="Arial"/>
          <w:sz w:val="22"/>
          <w:szCs w:val="22"/>
          <w:b w:val="1"/>
          <w:bCs w:val="1"/>
          <w:color w:val="auto"/>
        </w:rPr>
        <w:t>Share</w:t>
      </w:r>
      <w:r>
        <w:rPr>
          <w:rFonts w:ascii="Arial" w:cs="Arial" w:eastAsia="Arial" w:hAnsi="Arial"/>
          <w:sz w:val="22"/>
          <w:szCs w:val="22"/>
          <w:color w:val="auto"/>
        </w:rPr>
        <w:t>"). On such Settlement Date, each Lender shall pay to the Administrative Agent the amount equal to the difference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its Required Share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ectPr>
          <w:pgSz w:w="11900" w:h="16838" w:orient="portrait"/>
          <w:cols w:equalWidth="0" w:num="1">
            <w:col w:w="11420"/>
          </w:cols>
          <w:pgMar w:left="240" w:top="1428" w:right="239" w:bottom="1440" w:gutter="0" w:footer="0" w:header="0"/>
        </w:sectPr>
      </w:pPr>
    </w:p>
    <w:bookmarkStart w:id="88" w:name="page89"/>
    <w:bookmarkEnd w:id="88"/>
    <w:p>
      <w:pPr>
        <w:jc w:val="both"/>
        <w:ind w:left="80"/>
        <w:spacing w:after="0" w:line="288" w:lineRule="auto"/>
        <w:rPr>
          <w:sz w:val="20"/>
          <w:szCs w:val="20"/>
          <w:color w:val="auto"/>
        </w:rPr>
      </w:pPr>
      <w:r>
        <w:rPr>
          <w:rFonts w:ascii="Arial" w:cs="Arial" w:eastAsia="Arial" w:hAnsi="Arial"/>
          <w:sz w:val="19"/>
          <w:szCs w:val="19"/>
          <w:color w:val="auto"/>
        </w:rPr>
        <w:t>Revolving Credit Loans, and the Administrative Agent shall pay to each Lender its Ratable Share of all payments made by the Borrowers to the Administrative Agent with respect to the Revolving Credit Loans. The Administrative Agent shall also effect settlement in accordance with the foregoing sentence on the proposed Borrowing Dates for Revolving Credit Loans and on the dates in which any optional or mandatory prepayments are made hereunder and may at its option effect settlement on any other Business Day. These settlement procedures are established solely as a matter of administrative convenience, and nothing contained in this Section 5.11 shall relieve the Lenders of their obligations to fund Revolving Credit Loans on dates other than a Settlement Date pursuant to Section 2.1.2 [Swing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Borrowers to the Administrative Agent with respect to the Revolving Credit Loans.</w:t>
      </w:r>
    </w:p>
    <w:p>
      <w:pPr>
        <w:spacing w:after="0" w:line="160" w:lineRule="exact"/>
        <w:rPr>
          <w:sz w:val="20"/>
          <w:szCs w:val="20"/>
          <w:color w:val="auto"/>
        </w:rPr>
      </w:pPr>
    </w:p>
    <w:p>
      <w:pPr>
        <w:jc w:val="both"/>
        <w:ind w:left="80" w:firstLine="648"/>
        <w:spacing w:after="0" w:line="297"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Currency Conversion Procedures for Judgments.</w:t>
      </w:r>
      <w:r>
        <w:rPr>
          <w:rFonts w:ascii="Arial" w:cs="Arial" w:eastAsia="Arial" w:hAnsi="Arial"/>
          <w:sz w:val="19"/>
          <w:szCs w:val="19"/>
          <w:color w:val="auto"/>
        </w:rPr>
        <w:t xml:space="preserve"> If for the purposes of obtaining judgment in any court it is necessary to convert a sum due hereunder in any currency (the "</w:t>
      </w:r>
      <w:r>
        <w:rPr>
          <w:rFonts w:ascii="Arial" w:cs="Arial" w:eastAsia="Arial" w:hAnsi="Arial"/>
          <w:sz w:val="19"/>
          <w:szCs w:val="19"/>
          <w:b w:val="1"/>
          <w:bCs w:val="1"/>
          <w:color w:val="auto"/>
        </w:rPr>
        <w:t>Original Currency</w:t>
      </w:r>
      <w:r>
        <w:rPr>
          <w:rFonts w:ascii="Arial" w:cs="Arial" w:eastAsia="Arial" w:hAnsi="Arial"/>
          <w:sz w:val="19"/>
          <w:szCs w:val="19"/>
          <w:color w:val="auto"/>
        </w:rPr>
        <w:t>") into another currency (the "</w:t>
      </w:r>
      <w:r>
        <w:rPr>
          <w:rFonts w:ascii="Arial" w:cs="Arial" w:eastAsia="Arial" w:hAnsi="Arial"/>
          <w:sz w:val="19"/>
          <w:szCs w:val="19"/>
          <w:b w:val="1"/>
          <w:bCs w:val="1"/>
          <w:color w:val="auto"/>
        </w:rPr>
        <w:t>Other Currency</w:t>
      </w:r>
      <w:r>
        <w:rPr>
          <w:rFonts w:ascii="Arial" w:cs="Arial" w:eastAsia="Arial" w:hAnsi="Arial"/>
          <w:sz w:val="19"/>
          <w:szCs w:val="19"/>
          <w:color w:val="auto"/>
        </w:rPr>
        <w:t>"), the parties hereby agree, to the fullest extent permitted by Law, that the rate of exchange used shall be that at which in accordance with normal lending procedures the Administrative Agent could purchase the Original Currency with the Other Currency after any premium and costs of exchange on the Business Day preceding that on which final judgment is given.</w:t>
      </w:r>
    </w:p>
    <w:p>
      <w:pPr>
        <w:spacing w:after="0" w:line="147" w:lineRule="exact"/>
        <w:rPr>
          <w:sz w:val="20"/>
          <w:szCs w:val="20"/>
          <w:color w:val="auto"/>
        </w:rPr>
      </w:pPr>
    </w:p>
    <w:p>
      <w:pPr>
        <w:jc w:val="both"/>
        <w:ind w:left="80" w:firstLine="648"/>
        <w:spacing w:after="0" w:line="246"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Indemnity in Certain Events.</w:t>
      </w:r>
      <w:r>
        <w:rPr>
          <w:rFonts w:ascii="Arial" w:cs="Arial" w:eastAsia="Arial" w:hAnsi="Arial"/>
          <w:sz w:val="22"/>
          <w:szCs w:val="22"/>
          <w:color w:val="auto"/>
        </w:rPr>
        <w:t xml:space="preserve"> The obligation of Borrowers in respect of any sum due from Borrowers to any Lender hereunder shall, notwithstanding any judgment in an Other Currency, whether pursuant to a judgment or otherwise, be discharged only to the extent that, on the Business Day following receipt by any Lender of any sum adjudged to be so due in such Other Currency, such Lender may in accordance with normal lending procedures purchase the Original Currency with such Other Currency. If the amount of the Original Currency so purchased is less than the sum originally due to such Lender in the Original Currency, each Borrower agrees, as a separate obligation and notwithstanding any such judgment or payment, to indemnify such Lender against such loss.</w:t>
      </w:r>
    </w:p>
    <w:p>
      <w:pPr>
        <w:spacing w:after="0" w:line="197" w:lineRule="exact"/>
        <w:rPr>
          <w:sz w:val="20"/>
          <w:szCs w:val="20"/>
          <w:color w:val="auto"/>
        </w:rPr>
      </w:pPr>
    </w:p>
    <w:p>
      <w:pPr>
        <w:ind w:left="3860" w:hanging="220"/>
        <w:spacing w:after="0"/>
        <w:tabs>
          <w:tab w:leader="none" w:pos="38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left="80" w:right="320" w:firstLine="648"/>
        <w:spacing w:after="0" w:line="26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The Loan Parties, jointly and severally, represent and warrant to the Administrative Agent and each of the Lenders as follows:</w:t>
      </w:r>
    </w:p>
    <w:p>
      <w:pPr>
        <w:spacing w:after="0" w:line="17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Organization and Qualification; Power and Authority; Compliance With Laws; Title to Properties; Event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Each Loan Party and each Subsidiary of each Loan Party (i) is a corporation, partnership or limited liability company (or foreign jurisdictional equivalent) duly organized, validly existing and in good standing (or foreign jurisdictional equivalent) under the laws of its jurisdiction of organization, (ii) has the lawful power to own or lease its properties and to engage in the business it presently conducts or proposes to conduct, (iii) is duly licensed or qualified and in good standing (or foreign jurisdictional equivalent) in each jurisdiction listed on </w:t>
      </w:r>
      <w:r>
        <w:rPr>
          <w:rFonts w:ascii="Arial" w:cs="Arial" w:eastAsia="Arial" w:hAnsi="Arial"/>
          <w:sz w:val="19"/>
          <w:szCs w:val="19"/>
          <w:u w:val="single" w:color="auto"/>
          <w:color w:val="auto"/>
        </w:rPr>
        <w:t>Schedule 6.1.1</w:t>
      </w:r>
      <w:r>
        <w:rPr>
          <w:rFonts w:ascii="Arial" w:cs="Arial" w:eastAsia="Arial" w:hAnsi="Arial"/>
          <w:sz w:val="19"/>
          <w:szCs w:val="19"/>
          <w:color w:val="auto"/>
        </w:rPr>
        <w:t xml:space="preserve"> and in all other jurisdictions where the property owned or leased by it or the nature of the business transacted by it or both makes such licensing or qualification necessary except where such failure would not reasonably be expected to constitute a Material Adverse Change, (iv) has full power to enter into, execute, deliver and carry out this Agreement and the other Loan Documents to which it is a party, to incur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ectPr>
          <w:pgSz w:w="11900" w:h="16838" w:orient="portrait"/>
          <w:cols w:equalWidth="0" w:num="1">
            <w:col w:w="11420"/>
          </w:cols>
          <w:pgMar w:left="240" w:top="1428" w:right="239" w:bottom="1440" w:gutter="0" w:footer="0" w:header="0"/>
        </w:sectPr>
      </w:pPr>
    </w:p>
    <w:bookmarkStart w:id="89" w:name="page90"/>
    <w:bookmarkEnd w:id="89"/>
    <w:p>
      <w:pPr>
        <w:jc w:val="both"/>
        <w:spacing w:after="0" w:line="290" w:lineRule="auto"/>
        <w:rPr>
          <w:sz w:val="20"/>
          <w:szCs w:val="20"/>
          <w:color w:val="auto"/>
        </w:rPr>
      </w:pPr>
      <w:r>
        <w:rPr>
          <w:rFonts w:ascii="Arial" w:cs="Arial" w:eastAsia="Arial" w:hAnsi="Arial"/>
          <w:sz w:val="19"/>
          <w:szCs w:val="19"/>
          <w:color w:val="auto"/>
        </w:rPr>
        <w:t>contemplated by the Loan Documents and to 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Section 6.1.14 [Environmental Matters]) in all jurisdictions in which any Loan Party or Subsidiary of any Loan Party is presently or will be doing business except where the failure to do so would not reasonably be expected to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 No Loan Party is an EEA Financial Institution.</w:t>
      </w:r>
    </w:p>
    <w:p>
      <w:pPr>
        <w:spacing w:after="0" w:line="15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Subsidiaries and Owners; Investment Companies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6.1.2</w:t>
      </w:r>
      <w:r>
        <w:rPr>
          <w:rFonts w:ascii="Arial" w:cs="Arial" w:eastAsia="Arial" w:hAnsi="Arial"/>
          <w:sz w:val="19"/>
          <w:szCs w:val="19"/>
          <w:color w:val="auto"/>
        </w:rPr>
        <w:t xml:space="preserve"> states (i) the name of each of the Company's Subsidiaries, its jurisdiction of organization and the amount, percentage and type of equity interests in such Subsidiary (the "</w:t>
      </w:r>
      <w:r>
        <w:rPr>
          <w:rFonts w:ascii="Arial" w:cs="Arial" w:eastAsia="Arial" w:hAnsi="Arial"/>
          <w:sz w:val="19"/>
          <w:szCs w:val="19"/>
          <w:b w:val="1"/>
          <w:bCs w:val="1"/>
          <w:color w:val="auto"/>
        </w:rPr>
        <w:t>Subsidiary Equity Interests</w:t>
      </w:r>
      <w:r>
        <w:rPr>
          <w:rFonts w:ascii="Arial" w:cs="Arial" w:eastAsia="Arial" w:hAnsi="Arial"/>
          <w:sz w:val="19"/>
          <w:szCs w:val="19"/>
          <w:color w:val="auto"/>
        </w:rPr>
        <w:t>"), (ii) the name of each holder of an equity interest in the Borrowers, the amount, percentage and type of such equity interest (the "</w:t>
      </w:r>
      <w:r>
        <w:rPr>
          <w:rFonts w:ascii="Arial" w:cs="Arial" w:eastAsia="Arial" w:hAnsi="Arial"/>
          <w:sz w:val="19"/>
          <w:szCs w:val="19"/>
          <w:b w:val="1"/>
          <w:bCs w:val="1"/>
          <w:color w:val="auto"/>
        </w:rPr>
        <w:t>Borrower Equity Interests</w:t>
      </w:r>
      <w:r>
        <w:rPr>
          <w:rFonts w:ascii="Arial" w:cs="Arial" w:eastAsia="Arial" w:hAnsi="Arial"/>
          <w:sz w:val="19"/>
          <w:szCs w:val="19"/>
          <w:color w:val="auto"/>
        </w:rPr>
        <w:t>"), and (iii) any options, warrants or other rights outstanding to purchase any such equity interests referred to in clause (i) or (iii) (collectively the "</w:t>
      </w:r>
      <w:r>
        <w:rPr>
          <w:rFonts w:ascii="Arial" w:cs="Arial" w:eastAsia="Arial" w:hAnsi="Arial"/>
          <w:sz w:val="19"/>
          <w:szCs w:val="19"/>
          <w:b w:val="1"/>
          <w:bCs w:val="1"/>
          <w:color w:val="auto"/>
        </w:rPr>
        <w:t>Equity Interests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6.1.2</w:t>
      </w:r>
      <w:r>
        <w:rPr>
          <w:rFonts w:ascii="Arial" w:cs="Arial" w:eastAsia="Arial" w:hAnsi="Arial"/>
          <w:sz w:val="19"/>
          <w:szCs w:val="19"/>
          <w:color w:val="auto"/>
        </w:rPr>
        <w:t xml:space="preserve"> also identifies whether or not such Subsidiary is a Material Subsidiary. Each of the Borrowers and each Subsidiary of the Borrowers has good and marketable title to all of the Subsidiary Equity Interests it purports to own, free and clear in each case of any Lien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as such terms are defined in the Investment Company Act of 1940 and shall not become such an "investment company" or under such "control".</w:t>
      </w:r>
    </w:p>
    <w:p>
      <w:pPr>
        <w:spacing w:after="0" w:line="15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Validity and Binding Effect</w:t>
      </w:r>
      <w:r>
        <w:rPr>
          <w:rFonts w:ascii="Arial" w:cs="Arial" w:eastAsia="Arial" w:hAnsi="Arial"/>
          <w:sz w:val="22"/>
          <w:szCs w:val="22"/>
          <w:color w:val="auto"/>
        </w:rPr>
        <w:t>. This Agreement and each of the other Loan Documents (i) has been duly and validly executed and delivered by each Loan Party, and (ii) constitutes, or will constitute, legal, valid and binding obligations of each Loan Party which is or will be a party thereto, enforceable against such Loan Party in accordance with its terms, except as such enforceability may be limited by any applicable bankruptcy, insolvency, moratorium or similar laws affecting creditors' rights generally.</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6.1.4 </w:t>
      </w:r>
      <w:r>
        <w:rPr>
          <w:rFonts w:ascii="Arial" w:cs="Arial" w:eastAsia="Arial" w:hAnsi="Arial"/>
          <w:sz w:val="21"/>
          <w:szCs w:val="21"/>
          <w:u w:val="single" w:color="auto"/>
          <w:color w:val="auto"/>
        </w:rPr>
        <w:t>No Conflict; Material Agreements; Consents</w:t>
      </w:r>
      <w:r>
        <w:rPr>
          <w:rFonts w:ascii="Arial" w:cs="Arial" w:eastAsia="Arial" w:hAnsi="Arial"/>
          <w:sz w:val="21"/>
          <w:szCs w:val="21"/>
          <w:color w:val="auto"/>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 formation, articles of association, limited liability company agreement or other organizational documents of any Loan Party or (ii) any Law or any material agreement or any instrument or order, writ, judgment, injunction or decree to which any Loan Party or any of its Subsidiaries is a party or by which it or any of its Subsidiaries is bound or to which it is subject, or result in the creation or enforcement of any Lien, charge or encumbrance whatsoever upon any property (now or hereafter acquired) of any Loan Party or any of its Subsidiaries (other than Liens granted under the Loan Documents). There is no default under such material agreement (referred to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ectPr>
          <w:pgSz w:w="11900" w:h="16838" w:orient="portrait"/>
          <w:cols w:equalWidth="0" w:num="1">
            <w:col w:w="11420"/>
          </w:cols>
          <w:pgMar w:left="240" w:top="1428" w:right="239" w:bottom="1440" w:gutter="0" w:footer="0" w:header="0"/>
        </w:sectPr>
      </w:pPr>
    </w:p>
    <w:bookmarkStart w:id="90" w:name="page91"/>
    <w:bookmarkEnd w:id="90"/>
    <w:p>
      <w:pPr>
        <w:jc w:val="both"/>
        <w:spacing w:after="0" w:line="248" w:lineRule="auto"/>
        <w:rPr>
          <w:sz w:val="20"/>
          <w:szCs w:val="20"/>
          <w:color w:val="auto"/>
        </w:rPr>
      </w:pPr>
      <w:r>
        <w:rPr>
          <w:rFonts w:ascii="Arial" w:cs="Arial" w:eastAsia="Arial" w:hAnsi="Arial"/>
          <w:sz w:val="22"/>
          <w:szCs w:val="22"/>
          <w:color w:val="auto"/>
        </w:rPr>
        <w:t>none of the Loan Parties or their Subsidiaries is bound by any contractual obligation, or subject to any restriction in any organization document, or any requirement of Law which could reasonably be expected to result in a Material Adverse Change. No consent, approval, exemption, order or authorization of, or a registration or filing with, any Official Body or any other Person is required by any Law or any agreement in connection with the execution, delivery and carrying out of this Agreement or the other Loan Documents.</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6.1.5</w:t>
      </w:r>
      <w:r>
        <w:rPr>
          <w:rFonts w:ascii="Arial" w:cs="Arial" w:eastAsia="Arial" w:hAnsi="Arial"/>
          <w:sz w:val="19"/>
          <w:szCs w:val="19"/>
          <w:color w:val="auto"/>
        </w:rPr>
        <w:t>, there are no actions, suits, proceedings or investigations pending or, to the knowledge of any Loan Party, threatened against such Loan Party or any Subsidiary of such Loan Party at law or in equity before any Official Body which individually or in the aggregate may result in any Material Adverse Change. None of the Loan Parties or any Subsidiaries of any Loan Party is in violation of any order, writ, injunction or any decree of any Official Body which could reasonably be expected to result in any Material Adverse Change.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20" w:lineRule="exact"/>
        <w:rPr>
          <w:sz w:val="20"/>
          <w:szCs w:val="20"/>
          <w:color w:val="auto"/>
        </w:rPr>
      </w:pPr>
    </w:p>
    <w:p>
      <w:pPr>
        <w:jc w:val="both"/>
        <w:ind w:firstLine="1953"/>
        <w:spacing w:after="0" w:line="247" w:lineRule="auto"/>
        <w:tabs>
          <w:tab w:leader="none" w:pos="223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Historical Statements</w:t>
      </w:r>
      <w:r>
        <w:rPr>
          <w:rFonts w:ascii="Arial" w:cs="Arial" w:eastAsia="Arial" w:hAnsi="Arial"/>
          <w:sz w:val="22"/>
          <w:szCs w:val="22"/>
          <w:color w:val="auto"/>
        </w:rPr>
        <w:t>. The Company has delivered to the Administrative Agent copies of its audited consolidated year-end financial statements for and as of the end of the three (3) fiscal years ended in the period December 31, 2018 (the "</w:t>
      </w:r>
      <w:r>
        <w:rPr>
          <w:rFonts w:ascii="Arial" w:cs="Arial" w:eastAsia="Arial" w:hAnsi="Arial"/>
          <w:sz w:val="22"/>
          <w:szCs w:val="22"/>
          <w:b w:val="1"/>
          <w:bCs w:val="1"/>
          <w:color w:val="auto"/>
        </w:rPr>
        <w:t>Statements</w:t>
      </w:r>
      <w:r>
        <w:rPr>
          <w:rFonts w:ascii="Arial" w:cs="Arial" w:eastAsia="Arial" w:hAnsi="Arial"/>
          <w:sz w:val="22"/>
          <w:szCs w:val="22"/>
          <w:color w:val="auto"/>
        </w:rPr>
        <w:t>"). The Statements were compiled from the books and records maintained by the Company's management, are correct and complete and fairly represent the consolidated financial condition of the Company and its Subsidiaries as of the respective dates thereof and the results of operations for the fiscal periods then ended and have been prepared in accordance with GAAP consistently applied.</w:t>
      </w:r>
    </w:p>
    <w:p>
      <w:pPr>
        <w:spacing w:after="0" w:line="193" w:lineRule="exact"/>
        <w:rPr>
          <w:rFonts w:ascii="Arial" w:cs="Arial" w:eastAsia="Arial" w:hAnsi="Arial"/>
          <w:sz w:val="22"/>
          <w:szCs w:val="22"/>
          <w:color w:val="auto"/>
        </w:rPr>
      </w:pPr>
    </w:p>
    <w:p>
      <w:pPr>
        <w:jc w:val="both"/>
        <w:ind w:firstLine="1953"/>
        <w:spacing w:after="0" w:line="297" w:lineRule="auto"/>
        <w:tabs>
          <w:tab w:leader="none" w:pos="229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Accuracy of Financial Statements</w:t>
      </w:r>
      <w:r>
        <w:rPr>
          <w:rFonts w:ascii="Arial" w:cs="Arial" w:eastAsia="Arial" w:hAnsi="Arial"/>
          <w:sz w:val="19"/>
          <w:szCs w:val="19"/>
          <w:color w:val="auto"/>
        </w:rPr>
        <w:t>. Neither the Company nor any Subsidiary of the Company has any liabilities, contingent or otherwise, or forward or long-term commitments required to be disclosed under GAAP that are not disclosed in the Statements or in the notes thereto, and except as disclosed therein there are no unrealized or anticipated losses required to be disclosed under GAAP from any commitments of the Company or any Subsidiary of the Company which could reasonably be expected to cause a Material Adverse Change. Since December 31, 2018</w:t>
      </w:r>
      <w:r>
        <w:rPr>
          <w:rFonts w:ascii="Arial" w:cs="Arial" w:eastAsia="Arial" w:hAnsi="Arial"/>
          <w:sz w:val="19"/>
          <w:szCs w:val="19"/>
          <w:b w:val="1"/>
          <w:bCs w:val="1"/>
          <w:color w:val="auto"/>
        </w:rPr>
        <w:t>,</w:t>
      </w:r>
      <w:r>
        <w:rPr>
          <w:rFonts w:ascii="Arial" w:cs="Arial" w:eastAsia="Arial" w:hAnsi="Arial"/>
          <w:sz w:val="19"/>
          <w:szCs w:val="19"/>
          <w:color w:val="auto"/>
        </w:rPr>
        <w:t xml:space="preserve"> no Material Adverse Change has occurred.</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6.1.7 </w:t>
      </w:r>
      <w:r>
        <w:rPr>
          <w:rFonts w:ascii="Arial" w:cs="Arial" w:eastAsia="Arial" w:hAnsi="Arial"/>
          <w:sz w:val="21"/>
          <w:szCs w:val="21"/>
          <w:u w:val="single" w:color="auto"/>
          <w:color w:val="auto"/>
        </w:rPr>
        <w:t>Margin Stock</w:t>
      </w:r>
      <w:r>
        <w:rPr>
          <w:rFonts w:ascii="Arial" w:cs="Arial" w:eastAsia="Arial" w:hAnsi="Arial"/>
          <w:sz w:val="21"/>
          <w:szCs w:val="21"/>
          <w:color w:val="auto"/>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spacing w:after="0" w:line="18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u w:val="single" w:color="auto"/>
          <w:color w:val="auto"/>
        </w:rPr>
        <w:t>Full Disclosure</w:t>
      </w:r>
      <w:r>
        <w:rPr>
          <w:rFonts w:ascii="Arial" w:cs="Arial" w:eastAsia="Arial" w:hAnsi="Arial"/>
          <w:sz w:val="22"/>
          <w:szCs w:val="22"/>
          <w:color w:val="auto"/>
        </w:rPr>
        <w:t>. Neither this Agreement nor any other Loan Document, nor any certificate, statement, agreement or other documents furnished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ectPr>
          <w:pgSz w:w="11900" w:h="16838" w:orient="portrait"/>
          <w:cols w:equalWidth="0" w:num="1">
            <w:col w:w="11420"/>
          </w:cols>
          <w:pgMar w:left="240" w:top="1428" w:right="239" w:bottom="1440" w:gutter="0" w:footer="0" w:header="0"/>
        </w:sectPr>
      </w:pPr>
    </w:p>
    <w:bookmarkStart w:id="91" w:name="page92"/>
    <w:bookmarkEnd w:id="91"/>
    <w:p>
      <w:pPr>
        <w:jc w:val="both"/>
        <w:spacing w:after="0" w:line="294" w:lineRule="auto"/>
        <w:rPr>
          <w:sz w:val="20"/>
          <w:szCs w:val="20"/>
          <w:color w:val="auto"/>
        </w:rPr>
      </w:pPr>
      <w:r>
        <w:rPr>
          <w:rFonts w:ascii="Arial" w:cs="Arial" w:eastAsia="Arial" w:hAnsi="Arial"/>
          <w:sz w:val="19"/>
          <w:szCs w:val="19"/>
          <w:color w:val="auto"/>
        </w:rPr>
        <w:t>Agent or any Lender in connection herewith or therewith, contains any untrue statement of a material fact or omits to state a material fact necessary in order to make the statements contained herein and therein, in light of the circumstances under which they were made, not misleading. There is no fact known to any Loan Party which materially adversely affects the business, property, assets, financial condition or results of operations of any Loan Party or Subsidiary of any Loan Party which has not been set forth in this Agreement or in the certificates, statements, agreements or other documents furnished in writing to the Administrative Agent and the Lenders prior to or at the date hereof in connection with the transactions contemplated hereby.</w:t>
      </w:r>
    </w:p>
    <w:p>
      <w:pPr>
        <w:spacing w:after="0" w:line="15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6.1.9 </w:t>
      </w:r>
      <w:r>
        <w:rPr>
          <w:rFonts w:ascii="Arial" w:cs="Arial" w:eastAsia="Arial" w:hAnsi="Arial"/>
          <w:sz w:val="21"/>
          <w:szCs w:val="21"/>
          <w:u w:val="single" w:color="auto"/>
          <w:color w:val="auto"/>
        </w:rPr>
        <w:t>Taxes</w:t>
      </w:r>
      <w:r>
        <w:rPr>
          <w:rFonts w:ascii="Arial" w:cs="Arial" w:eastAsia="Arial" w:hAnsi="Arial"/>
          <w:sz w:val="21"/>
          <w:szCs w:val="21"/>
          <w:color w:val="auto"/>
        </w:rPr>
        <w:t>. All federal, state, provincial, territorial, local and other tax returns required to have been filed with respect to each Loan Party and each Subsidiary of each Loan Party have been filed,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spacing w:after="0" w:line="18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6.1.10 </w:t>
      </w:r>
      <w:r>
        <w:rPr>
          <w:rFonts w:ascii="Arial" w:cs="Arial" w:eastAsia="Arial" w:hAnsi="Arial"/>
          <w:sz w:val="19"/>
          <w:szCs w:val="19"/>
          <w:u w:val="single" w:color="auto"/>
          <w:color w:val="auto"/>
        </w:rPr>
        <w:t>Patents, Trademarks, Copyrights, Licenses, Etc</w:t>
      </w:r>
      <w:r>
        <w:rPr>
          <w:rFonts w:ascii="Arial" w:cs="Arial" w:eastAsia="Arial" w:hAnsi="Arial"/>
          <w:sz w:val="19"/>
          <w:szCs w:val="19"/>
          <w:color w:val="auto"/>
        </w:rPr>
        <w:t>. Each Loan Party and each Subsidiary of each Loan Party owns or possesses all the material patents, trademarks, service marks, trade names, copyrights, industrial designs, licenses, registrations, franchises, permits and rights necessary to own and operate its properties and to carry on its business as presently conducted and planned to be conducted by such Loan Party or Subsidiary, without actual knowledge of (i) possible, (ii) alleged or</w:t>
      </w:r>
    </w:p>
    <w:p>
      <w:pPr>
        <w:spacing w:after="0" w:line="3"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actual conflict with the rights of others.</w:t>
      </w:r>
    </w:p>
    <w:p>
      <w:pPr>
        <w:spacing w:after="0" w:line="20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6.1.11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6.1.12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6.1.13 </w:t>
      </w:r>
      <w:r>
        <w:rPr>
          <w:rFonts w:ascii="Arial" w:cs="Arial" w:eastAsia="Arial" w:hAnsi="Arial"/>
          <w:sz w:val="21"/>
          <w:szCs w:val="21"/>
          <w:u w:val="single" w:color="auto"/>
          <w:color w:val="auto"/>
        </w:rPr>
        <w:t>ERISA Compliance</w:t>
      </w:r>
      <w:r>
        <w:rPr>
          <w:rFonts w:ascii="Arial" w:cs="Arial" w:eastAsia="Arial" w:hAnsi="Arial"/>
          <w:sz w:val="21"/>
          <w:szCs w:val="21"/>
          <w:color w:val="auto"/>
        </w:rPr>
        <w:t>. (i) 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and, to the best knowledge of Borrowers, nothing has occurred which would prevent, or cause the loss of, such qualification. Borrowers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1" w:lineRule="exact"/>
        <w:rPr>
          <w:sz w:val="20"/>
          <w:szCs w:val="20"/>
          <w:color w:val="auto"/>
        </w:rPr>
      </w:pPr>
    </w:p>
    <w:p>
      <w:pPr>
        <w:jc w:val="both"/>
        <w:ind w:firstLine="1953"/>
        <w:spacing w:after="0" w:line="247" w:lineRule="auto"/>
        <w:tabs>
          <w:tab w:leader="none" w:pos="2263"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ERISA Event has occurred or is reasonably expected to occur; (a) no Pension Plan has any unfunded pension liability (i.e. excess of benefit liabilities over the current value of that Pension Plan's assets, determined in accordance with the assumptions used for funding the Pension Plan for the applicable plan year); (b) neither the Borrowers nor any ERISA Affiliate has incurred, or reasonably expects to incur, any liability under Title IV of ERISA with respect to any Pension Plan (other than premiums due and not delinquent under Section 4007 of ERISA); (c) neither the Borrowers nor any ERISA Affiliate has incurred,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0" w:lineRule="exact"/>
        <w:rPr>
          <w:rFonts w:ascii="Arial" w:cs="Arial" w:eastAsia="Arial" w:hAnsi="Arial"/>
          <w:sz w:val="22"/>
          <w:szCs w:val="22"/>
          <w:color w:val="auto"/>
        </w:rPr>
      </w:pPr>
    </w:p>
    <w:p>
      <w:pPr>
        <w:ind w:left="5600" w:hanging="120"/>
        <w:spacing w:after="0"/>
        <w:tabs>
          <w:tab w:leader="none" w:pos="56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78 -</w:t>
      </w:r>
    </w:p>
    <w:p>
      <w:pPr>
        <w:sectPr>
          <w:pgSz w:w="11900" w:h="16838" w:orient="portrait"/>
          <w:cols w:equalWidth="0" w:num="1">
            <w:col w:w="11420"/>
          </w:cols>
          <w:pgMar w:left="240" w:top="1428" w:right="239" w:bottom="1440" w:gutter="0" w:footer="0" w:header="0"/>
        </w:sectPr>
      </w:pPr>
    </w:p>
    <w:bookmarkStart w:id="92" w:name="page93"/>
    <w:bookmarkEnd w:id="92"/>
    <w:p>
      <w:pPr>
        <w:jc w:val="both"/>
        <w:spacing w:after="0" w:line="312" w:lineRule="auto"/>
        <w:rPr>
          <w:sz w:val="20"/>
          <w:szCs w:val="20"/>
          <w:color w:val="auto"/>
        </w:rPr>
      </w:pPr>
      <w:r>
        <w:rPr>
          <w:rFonts w:ascii="Arial" w:cs="Arial" w:eastAsia="Arial" w:hAnsi="Arial"/>
          <w:sz w:val="19"/>
          <w:szCs w:val="19"/>
          <w:color w:val="auto"/>
        </w:rPr>
        <w:t>reasonably expects to incur, any liability (and no event has occurred which, with the giving of notice under Section 4219 of ERISA, would result in such liability) under Sections 4201 or 4243 of ERISA with respect to a Multiemployer Plan; and (d) neither the Borrowers nor any ERISA Affiliate has engaged in a transaction that could be subject to Sections 4069 or 4212(c) of ERISA.</w:t>
      </w:r>
    </w:p>
    <w:p>
      <w:pPr>
        <w:spacing w:after="0" w:line="134" w:lineRule="exact"/>
        <w:rPr>
          <w:sz w:val="20"/>
          <w:szCs w:val="20"/>
          <w:color w:val="auto"/>
        </w:rPr>
      </w:pPr>
    </w:p>
    <w:p>
      <w:pPr>
        <w:jc w:val="both"/>
        <w:ind w:firstLine="1953"/>
        <w:spacing w:after="0" w:line="285" w:lineRule="auto"/>
        <w:tabs>
          <w:tab w:leader="none" w:pos="2336" w:val="left"/>
        </w:tabs>
        <w:numPr>
          <w:ilvl w:val="1"/>
          <w:numId w:val="65"/>
        </w:numPr>
        <w:rPr>
          <w:rFonts w:ascii="Arial" w:cs="Arial" w:eastAsia="Arial" w:hAnsi="Arial"/>
          <w:sz w:val="19"/>
          <w:szCs w:val="19"/>
          <w:color w:val="auto"/>
        </w:rPr>
      </w:pPr>
      <w:r>
        <w:rPr>
          <w:rFonts w:ascii="Arial" w:cs="Arial" w:eastAsia="Arial" w:hAnsi="Arial"/>
          <w:sz w:val="19"/>
          <w:szCs w:val="19"/>
          <w:color w:val="auto"/>
        </w:rPr>
        <w:t>None of the Loan Parties have a Canadian Pension Plan which contains a defined benefit provision (as such term is defined in subsection 147.1(1) of the Income Tax Act (Canada). Except as could not reasonably result in a Material Adverse Change, (i) none of the Canadian Benefit Plans provide retiree welfare benefits or retiree life insurance benefits; (ii) the Canadian Pension Plans are registered under the Income Tax Act (Canada) and all other applicable Laws which require registration and to the knowledge of the Borrowers, no event has occurred which is reasonably likely to cause the loss of such registered status;</w:t>
      </w:r>
    </w:p>
    <w:p>
      <w:pPr>
        <w:spacing w:after="0" w:line="3" w:lineRule="exact"/>
        <w:rPr>
          <w:rFonts w:ascii="Arial" w:cs="Arial" w:eastAsia="Arial" w:hAnsi="Arial"/>
          <w:sz w:val="19"/>
          <w:szCs w:val="19"/>
          <w:color w:val="auto"/>
        </w:rPr>
      </w:pPr>
    </w:p>
    <w:p>
      <w:pPr>
        <w:jc w:val="both"/>
        <w:ind w:firstLine="8"/>
        <w:spacing w:after="0" w:line="284" w:lineRule="auto"/>
        <w:tabs>
          <w:tab w:leader="none" w:pos="404" w:val="left"/>
        </w:tabs>
        <w:numPr>
          <w:ilvl w:val="0"/>
          <w:numId w:val="66"/>
        </w:numPr>
        <w:rPr>
          <w:rFonts w:ascii="Arial" w:cs="Arial" w:eastAsia="Arial" w:hAnsi="Arial"/>
          <w:sz w:val="19"/>
          <w:szCs w:val="19"/>
          <w:color w:val="auto"/>
        </w:rPr>
      </w:pPr>
      <w:r>
        <w:rPr>
          <w:rFonts w:ascii="Arial" w:cs="Arial" w:eastAsia="Arial" w:hAnsi="Arial"/>
          <w:sz w:val="19"/>
          <w:szCs w:val="19"/>
          <w:color w:val="auto"/>
        </w:rPr>
        <w:t>except as could not reasonably be expected to result in a Material Adverse Change, all material obligations of each of the Canadian Borrowers required to be performed in connection with the Canadian Pension Plans have been performed in a timely fashion, in accordance with the terms of the particular plan, applicable Law and the terms of all applicable collective bargaining agreements, participation agreements, employment contracts and funding agreements; (iv) except as could not reasonably be expected to result in a Material Adverse Change, all employer and employee payments and contributions (including “normal cost”, “special payments” and any other required payments in respect of any funding deficiencies or shortfalls) required to be withheld, made, remitted or paid by the Borrower to or in respect of each Canadian Pension Plan have been withheld, made, remitted or paid on a timely basis in accordance with the terms of such plans, any applicable collective bargaining agreement, participation agreement, employment contract and all applicable Law; (v) to the knowledge of the Borrowers, no condition exists and no event or transaction has occurred with respect to any Canadian Pension Plan that is reasonably likely to result in any Canadian Borrower incurring any liability, fine or penalty; (vi) no Lien has arisen or exists in respect of a Canadian Borrower or its property in connection with any Canadian Pension Plan; (vii) to the knowledge of the Borrowers, there are no material outstanding disputes concerning the assets or liabilities of any Canadian Pension Plan; and (viii) no Borrower has taken any action or intends to take any action to cause the termination or wind-up, in whole or in part, of any Canadian Pension Plan that contains a defined benefit provision as such term is defined in subsection 147.1(1) of the Income Tax Act (Canada) and each Canadian Borrower is of the opinion, acting reasonably, that no circumstances exist or are expected to arise that would provide any basis for an Official Body under applicable Law to take steps to cause the termination or wind-up, in whole or in part, of any Canadian Pension Plan that contains a defined benefit provision, as such term is defined in subsection 147.1(1) of the Income Tax Act (Canada).</w:t>
      </w:r>
    </w:p>
    <w:p>
      <w:pPr>
        <w:spacing w:after="0" w:line="163" w:lineRule="exact"/>
        <w:rPr>
          <w:rFonts w:ascii="Arial" w:cs="Arial" w:eastAsia="Arial" w:hAnsi="Arial"/>
          <w:sz w:val="19"/>
          <w:szCs w:val="19"/>
          <w:color w:val="auto"/>
        </w:rPr>
      </w:pPr>
    </w:p>
    <w:p>
      <w:pPr>
        <w:ind w:left="2320" w:hanging="367"/>
        <w:spacing w:after="0"/>
        <w:tabs>
          <w:tab w:leader="none" w:pos="2320"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6.1.13</w:t>
      </w:r>
      <w:r>
        <w:rPr>
          <w:rFonts w:ascii="Arial" w:cs="Arial" w:eastAsia="Arial" w:hAnsi="Arial"/>
          <w:sz w:val="19"/>
          <w:szCs w:val="19"/>
          <w:color w:val="auto"/>
        </w:rPr>
        <w:t>, no UK Borrower or any Guarantor incorporated in England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Wales:</w:t>
      </w:r>
    </w:p>
    <w:p>
      <w:pPr>
        <w:spacing w:after="0" w:line="202" w:lineRule="exact"/>
        <w:rPr>
          <w:sz w:val="20"/>
          <w:szCs w:val="20"/>
          <w:color w:val="auto"/>
        </w:rPr>
      </w:pPr>
    </w:p>
    <w:p>
      <w:pPr>
        <w:jc w:val="both"/>
        <w:ind w:firstLine="1953"/>
        <w:spacing w:after="0" w:line="253" w:lineRule="auto"/>
        <w:tabs>
          <w:tab w:leader="none" w:pos="2203" w:val="left"/>
        </w:tabs>
        <w:numPr>
          <w:ilvl w:val="0"/>
          <w:numId w:val="67"/>
        </w:numPr>
        <w:rPr>
          <w:rFonts w:ascii="Arial" w:cs="Arial" w:eastAsia="Arial" w:hAnsi="Arial"/>
          <w:sz w:val="22"/>
          <w:szCs w:val="22"/>
          <w:color w:val="auto"/>
        </w:rPr>
      </w:pPr>
      <w:r>
        <w:rPr>
          <w:rFonts w:ascii="Arial" w:cs="Arial" w:eastAsia="Arial" w:hAnsi="Arial"/>
          <w:sz w:val="22"/>
          <w:szCs w:val="22"/>
          <w:color w:val="auto"/>
        </w:rPr>
        <w:t>is or has at any time been an employer (for the purposes of sections 38 to 51 of the Pensions Act 2004) of an occupational pension scheme which is not a money purchase scheme (both terms as defined in the Pensions Schemes Act 1993);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600" w:hanging="120"/>
        <w:spacing w:after="0"/>
        <w:tabs>
          <w:tab w:leader="none" w:pos="56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79 -</w:t>
      </w:r>
    </w:p>
    <w:p>
      <w:pPr>
        <w:sectPr>
          <w:pgSz w:w="11900" w:h="16838" w:orient="portrait"/>
          <w:cols w:equalWidth="0" w:num="1">
            <w:col w:w="11420"/>
          </w:cols>
          <w:pgMar w:left="240" w:top="1428" w:right="239" w:bottom="1440" w:gutter="0" w:footer="0" w:header="0"/>
        </w:sectPr>
      </w:pPr>
    </w:p>
    <w:bookmarkStart w:id="93" w:name="page94"/>
    <w:bookmarkEnd w:id="93"/>
    <w:p>
      <w:pPr>
        <w:ind w:firstLine="1953"/>
        <w:spacing w:after="0" w:line="263" w:lineRule="auto"/>
        <w:tabs>
          <w:tab w:leader="none" w:pos="227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 or has at any time been "connected" with or an "associate" of (as those terms are used in sections 38 and 43 of the Pensions Act 2004) such an employer.</w:t>
      </w:r>
    </w:p>
    <w:p>
      <w:pPr>
        <w:spacing w:after="0" w:line="175"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6.1.14 </w:t>
      </w:r>
      <w:r>
        <w:rPr>
          <w:rFonts w:ascii="Arial" w:cs="Arial" w:eastAsia="Arial" w:hAnsi="Arial"/>
          <w:sz w:val="21"/>
          <w:szCs w:val="21"/>
          <w:u w:val="single" w:color="auto"/>
          <w:color w:val="auto"/>
        </w:rPr>
        <w:t>Environmental Matters</w:t>
      </w:r>
      <w:r>
        <w:rPr>
          <w:rFonts w:ascii="Arial" w:cs="Arial" w:eastAsia="Arial" w:hAnsi="Arial"/>
          <w:sz w:val="21"/>
          <w:szCs w:val="21"/>
          <w:color w:val="auto"/>
        </w:rPr>
        <w:t xml:space="preserve">. Each Loan Party is, and to the knowledge of each respective Loan Party and each of its Subsidiaries is and has been, in compliance with applicable Environmental Laws except for the matters set forth on </w:t>
      </w:r>
      <w:r>
        <w:rPr>
          <w:rFonts w:ascii="Arial" w:cs="Arial" w:eastAsia="Arial" w:hAnsi="Arial"/>
          <w:sz w:val="21"/>
          <w:szCs w:val="21"/>
          <w:u w:val="single" w:color="auto"/>
          <w:color w:val="auto"/>
        </w:rPr>
        <w:t>Schedule 6.1.14</w:t>
      </w:r>
      <w:r>
        <w:rPr>
          <w:rFonts w:ascii="Arial" w:cs="Arial" w:eastAsia="Arial" w:hAnsi="Arial"/>
          <w:sz w:val="21"/>
          <w:szCs w:val="21"/>
          <w:color w:val="auto"/>
        </w:rPr>
        <w:t xml:space="preserve"> or which otherwise, individually or in the aggregate, could not result in a Material Adverse Change. The matters set forth on </w:t>
      </w:r>
      <w:r>
        <w:rPr>
          <w:rFonts w:ascii="Arial" w:cs="Arial" w:eastAsia="Arial" w:hAnsi="Arial"/>
          <w:sz w:val="21"/>
          <w:szCs w:val="21"/>
          <w:u w:val="single" w:color="auto"/>
          <w:color w:val="auto"/>
        </w:rPr>
        <w:t>Schedule 6.1.14</w:t>
      </w:r>
      <w:r>
        <w:rPr>
          <w:rFonts w:ascii="Arial" w:cs="Arial" w:eastAsia="Arial" w:hAnsi="Arial"/>
          <w:sz w:val="21"/>
          <w:szCs w:val="21"/>
          <w:color w:val="auto"/>
        </w:rPr>
        <w:t xml:space="preserve"> could not, individually or in the aggregate, result in a Material Adverse Change.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6.1.15 </w:t>
      </w:r>
      <w:r>
        <w:rPr>
          <w:rFonts w:ascii="Arial" w:cs="Arial" w:eastAsia="Arial" w:hAnsi="Arial"/>
          <w:sz w:val="19"/>
          <w:szCs w:val="19"/>
          <w:u w:val="single" w:color="auto"/>
          <w:color w:val="auto"/>
        </w:rPr>
        <w:t>Solvency</w:t>
      </w:r>
      <w:r>
        <w:rPr>
          <w:rFonts w:ascii="Arial" w:cs="Arial" w:eastAsia="Arial" w:hAnsi="Arial"/>
          <w:sz w:val="19"/>
          <w:szCs w:val="19"/>
          <w:color w:val="auto"/>
        </w:rPr>
        <w:t>. Before and after giving effect to the initial Loans hereunder, each of the Loan Parties is Solvent.</w:t>
      </w:r>
    </w:p>
    <w:p>
      <w:pPr>
        <w:spacing w:after="0" w:line="25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6.1.16 </w:t>
      </w:r>
      <w:r>
        <w:rPr>
          <w:rFonts w:ascii="Arial" w:cs="Arial" w:eastAsia="Arial" w:hAnsi="Arial"/>
          <w:sz w:val="19"/>
          <w:szCs w:val="19"/>
          <w:u w:val="single" w:color="auto"/>
          <w:color w:val="auto"/>
        </w:rPr>
        <w:t>Business and Property of Borrowers</w:t>
      </w:r>
      <w:r>
        <w:rPr>
          <w:rFonts w:ascii="Arial" w:cs="Arial" w:eastAsia="Arial" w:hAnsi="Arial"/>
          <w:sz w:val="19"/>
          <w:szCs w:val="19"/>
          <w:color w:val="auto"/>
        </w:rPr>
        <w:t>. Upon and after the Closing Date, the Borrowers do not propose to engage in any business other than business which is substantially the same as or related to (in a commercially reasonable manner) one or more lines of business presently conducted by the Borrowers. On the Closing Date, each Borrower will own, lease or license all the property and possess all of the right and consents necessary for the conduct of the business of such Borrower.</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6.1.17 </w:t>
      </w:r>
      <w:r>
        <w:rPr>
          <w:rFonts w:ascii="Arial" w:cs="Arial" w:eastAsia="Arial" w:hAnsi="Arial"/>
          <w:sz w:val="21"/>
          <w:szCs w:val="21"/>
          <w:u w:val="single" w:color="auto"/>
          <w:color w:val="auto"/>
        </w:rPr>
        <w:t>Anti-Terrorism Laws</w:t>
      </w:r>
      <w:r>
        <w:rPr>
          <w:rFonts w:ascii="Arial" w:cs="Arial" w:eastAsia="Arial" w:hAnsi="Arial"/>
          <w:sz w:val="21"/>
          <w:szCs w:val="21"/>
          <w:color w:val="auto"/>
        </w:rPr>
        <w:t>. (i) No Covered Entity is a Sanctioned Person, and (ii) no Covered Entity, either in its own right or through any third party, (a) has any of its assets in a Sanctioned Country or in the possession, custody or control of a Sanctioned Person in violation of any Anti-Terrorism Law, (b) does business in or with, or derives any of its income from investments in or transactions with, any Sanctioned Country or Sanctioned Person in violation of any Anti-Terrorism Law; or (c) engages in any dealings or transactions prohibited by any Anti-Terrorism Law.</w:t>
      </w:r>
    </w:p>
    <w:p>
      <w:pPr>
        <w:spacing w:after="0" w:line="176"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6.1.18 </w:t>
      </w:r>
      <w:r>
        <w:rPr>
          <w:rFonts w:ascii="Arial" w:cs="Arial" w:eastAsia="Arial" w:hAnsi="Arial"/>
          <w:sz w:val="21"/>
          <w:szCs w:val="21"/>
          <w:u w:val="single" w:color="auto"/>
          <w:color w:val="auto"/>
        </w:rPr>
        <w:t>Prior Security Interests</w:t>
      </w:r>
      <w:r>
        <w:rPr>
          <w:rFonts w:ascii="Arial" w:cs="Arial" w:eastAsia="Arial" w:hAnsi="Arial"/>
          <w:sz w:val="21"/>
          <w:szCs w:val="21"/>
          <w:color w:val="auto"/>
        </w:rPr>
        <w:t>. The Liens in the Collateral granted to the Administrative Agent for the benefit of the Lenders pursuant to the Collateral Documents constitute and will continue to constitute first priority, perfected security interests, except in the case of (a) Permitted Liens, to the extent any such Permitted Liens would have priority over Liens in favor of the Administrative Agent pursuant to any applicable law and (b) Liens perfected only by possession, to the extent the Administrative Agent has not obtained or does not maintain possession of such Collateral. All filing fees and other expenses in connection with the perfection of such Liens have been or will be paid by the Loan Parties.</w:t>
      </w:r>
    </w:p>
    <w:p>
      <w:pPr>
        <w:spacing w:after="0" w:line="18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6.1.19 </w:t>
      </w:r>
      <w:r>
        <w:rPr>
          <w:rFonts w:ascii="Arial" w:cs="Arial" w:eastAsia="Arial" w:hAnsi="Arial"/>
          <w:sz w:val="22"/>
          <w:szCs w:val="22"/>
          <w:u w:val="single" w:color="auto"/>
          <w:color w:val="auto"/>
        </w:rPr>
        <w:t>Plan Assets</w:t>
      </w:r>
      <w:r>
        <w:rPr>
          <w:rFonts w:ascii="Arial" w:cs="Arial" w:eastAsia="Arial" w:hAnsi="Arial"/>
          <w:sz w:val="22"/>
          <w:szCs w:val="22"/>
          <w:color w:val="auto"/>
        </w:rPr>
        <w:t>. Each of the Borrowers represents and warrants as of the Closing Date that each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8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6.1.20 </w:t>
      </w:r>
      <w:r>
        <w:rPr>
          <w:rFonts w:ascii="Arial" w:cs="Arial" w:eastAsia="Arial" w:hAnsi="Arial"/>
          <w:sz w:val="22"/>
          <w:szCs w:val="22"/>
          <w:u w:val="single" w:color="auto"/>
          <w:color w:val="auto"/>
        </w:rPr>
        <w:t>Certificate of Beneficial Ownership</w:t>
      </w:r>
      <w:r>
        <w:rPr>
          <w:rFonts w:ascii="Arial" w:cs="Arial" w:eastAsia="Arial" w:hAnsi="Arial"/>
          <w:sz w:val="22"/>
          <w:szCs w:val="22"/>
          <w:b w:val="1"/>
          <w:bCs w:val="1"/>
          <w:color w:val="auto"/>
        </w:rPr>
        <w:t>.</w:t>
      </w:r>
      <w:r>
        <w:rPr>
          <w:rFonts w:ascii="Arial" w:cs="Arial" w:eastAsia="Arial" w:hAnsi="Arial"/>
          <w:sz w:val="22"/>
          <w:szCs w:val="22"/>
          <w:color w:val="auto"/>
        </w:rPr>
        <w:t xml:space="preserve"> The Certificate of Beneficial Ownership executed and delivered to Administrative Agent and Lenders for each Foreign Borrower on or prior to the date of this Agreement, as updated from time to time in accordance with this Agreement, is accurate, complete and correct as of the date hereof and as of the date any such update is delivered. Each Foreign Borrower acknowledges and agrees that the Certificate of Beneficial Ownership is one of the Loan Documents.</w:t>
      </w:r>
    </w:p>
    <w:p>
      <w:pPr>
        <w:spacing w:after="0" w:line="193"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Updates to Schedules.</w:t>
      </w:r>
      <w:r>
        <w:rPr>
          <w:rFonts w:ascii="Arial" w:cs="Arial" w:eastAsia="Arial" w:hAnsi="Arial"/>
          <w:sz w:val="22"/>
          <w:szCs w:val="22"/>
          <w:color w:val="auto"/>
        </w:rPr>
        <w:t xml:space="preserve"> Should any of the information or disclosures provided on any of the Schedules attached hereto become outdated or incorrect in any material respect, the Borrowers shall promptly provide the Administrative Agent in writing with such revisions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ectPr>
          <w:pgSz w:w="11900" w:h="16838" w:orient="portrait"/>
          <w:cols w:equalWidth="0" w:num="1">
            <w:col w:w="11420"/>
          </w:cols>
          <w:pgMar w:left="240" w:top="1428" w:right="239" w:bottom="1440" w:gutter="0" w:footer="0" w:header="0"/>
        </w:sectPr>
      </w:pPr>
    </w:p>
    <w:bookmarkStart w:id="94" w:name="page95"/>
    <w:bookmarkEnd w:id="94"/>
    <w:p>
      <w:pPr>
        <w:jc w:val="both"/>
        <w:ind w:left="80"/>
        <w:spacing w:after="0" w:line="260" w:lineRule="auto"/>
        <w:rPr>
          <w:sz w:val="20"/>
          <w:szCs w:val="20"/>
          <w:color w:val="auto"/>
        </w:rPr>
      </w:pPr>
      <w:r>
        <w:rPr>
          <w:rFonts w:ascii="Arial" w:cs="Arial" w:eastAsia="Arial" w:hAnsi="Arial"/>
          <w:sz w:val="21"/>
          <w:szCs w:val="21"/>
          <w:color w:val="auto"/>
        </w:rPr>
        <w:t xml:space="preserve">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 provided however, that the Borrowers may update </w:t>
      </w:r>
      <w:r>
        <w:rPr>
          <w:rFonts w:ascii="Arial" w:cs="Arial" w:eastAsia="Arial" w:hAnsi="Arial"/>
          <w:sz w:val="21"/>
          <w:szCs w:val="21"/>
          <w:u w:val="single" w:color="auto"/>
          <w:color w:val="auto"/>
        </w:rPr>
        <w:t>Schedules 6.1.1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6.1.2</w:t>
      </w:r>
      <w:r>
        <w:rPr>
          <w:rFonts w:ascii="Arial" w:cs="Arial" w:eastAsia="Arial" w:hAnsi="Arial"/>
          <w:sz w:val="21"/>
          <w:szCs w:val="21"/>
          <w:color w:val="auto"/>
        </w:rPr>
        <w:t xml:space="preserve"> without any Lender approval in connection with any transaction permitted under Sections 8.2.6 [Liquidations, Mergers, Consolidations and Acquisitions] and 8.2.9 [Subsidiaries, Partnerships and Joint Ventures].</w:t>
      </w:r>
    </w:p>
    <w:p>
      <w:pPr>
        <w:spacing w:after="0" w:line="181" w:lineRule="exact"/>
        <w:rPr>
          <w:sz w:val="20"/>
          <w:szCs w:val="20"/>
          <w:color w:val="auto"/>
        </w:rPr>
      </w:pPr>
    </w:p>
    <w:p>
      <w:pPr>
        <w:ind w:left="2440" w:hanging="219"/>
        <w:spacing w:after="0"/>
        <w:tabs>
          <w:tab w:leader="none" w:pos="24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CONDITIONS OF LENDING AND ISSUANCE OF LETTERS OF CREDIT</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First Loans and Letters of Credit.</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Deliveries</w:t>
      </w:r>
      <w:r>
        <w:rPr>
          <w:rFonts w:ascii="Arial" w:cs="Arial" w:eastAsia="Arial" w:hAnsi="Arial"/>
          <w:sz w:val="22"/>
          <w:szCs w:val="22"/>
          <w:color w:val="auto"/>
        </w:rPr>
        <w:t>. On the Closing Date, the Administrative Agent shall have received each of the following in form and substance satisfactory to the Administrative Agent:</w:t>
      </w:r>
    </w:p>
    <w:p>
      <w:pPr>
        <w:spacing w:after="0" w:line="175" w:lineRule="exact"/>
        <w:rPr>
          <w:sz w:val="20"/>
          <w:szCs w:val="20"/>
          <w:color w:val="auto"/>
        </w:rPr>
      </w:pPr>
    </w:p>
    <w:p>
      <w:pPr>
        <w:jc w:val="both"/>
        <w:ind w:firstLine="1953"/>
        <w:spacing w:after="0" w:line="260" w:lineRule="auto"/>
        <w:tabs>
          <w:tab w:leader="none" w:pos="2216" w:val="left"/>
        </w:tabs>
        <w:numPr>
          <w:ilvl w:val="0"/>
          <w:numId w:val="70"/>
        </w:numPr>
        <w:rPr>
          <w:rFonts w:ascii="Arial" w:cs="Arial" w:eastAsia="Arial" w:hAnsi="Arial"/>
          <w:sz w:val="21"/>
          <w:szCs w:val="21"/>
          <w:color w:val="auto"/>
        </w:rPr>
      </w:pPr>
      <w:r>
        <w:rPr>
          <w:rFonts w:ascii="Arial" w:cs="Arial" w:eastAsia="Arial" w:hAnsi="Arial"/>
          <w:sz w:val="21"/>
          <w:szCs w:val="21"/>
          <w:color w:val="auto"/>
        </w:rPr>
        <w:t>With respect to each Loan Party, a certificate signed by an Authorized Officer, dated the Closing Date stating that (a) all representations and warranties of the Loan Parties set forth in this Agreement are true and correct in all material respects, (b) the Loan Parties are in compliance with each of the covenants and conditions hereunder, (c) no Event of Default or Potential Default exists, (d) no Material Adverse Change has occurred since the date of the last audited financial statements of the Borrowers delivered to the Administrative Agent, and (e) there is no litigation or proceedings of which it is aware before any courts, arbitrators or governmental or regulatory agencies affecting the Company or any of its Subsidiaries which could reasonably be expected to result in a Material Adverse Change;</w:t>
      </w:r>
    </w:p>
    <w:p>
      <w:pPr>
        <w:spacing w:after="0" w:line="181" w:lineRule="exact"/>
        <w:rPr>
          <w:rFonts w:ascii="Arial" w:cs="Arial" w:eastAsia="Arial" w:hAnsi="Arial"/>
          <w:sz w:val="21"/>
          <w:szCs w:val="21"/>
          <w:color w:val="auto"/>
        </w:rPr>
      </w:pPr>
    </w:p>
    <w:p>
      <w:pPr>
        <w:jc w:val="both"/>
        <w:ind w:firstLine="1953"/>
        <w:spacing w:after="0" w:line="292" w:lineRule="auto"/>
        <w:tabs>
          <w:tab w:leader="none" w:pos="2276"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 respect to each Loan Party, a certificate dated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 signatures; and (c) copies of its organizational documents as in effect on the Closing Date certified by the appropriate state or foreign jurisdiction official where such documents are filed in the appropriate state or foreign jurisdiction office together with certificates from the appropriate state or foreign jurisdiction officials as to the continued existence and good standing (or foreign jurisdiction equivalent, if any) of each Loan Party in each state where organized;</w:t>
      </w:r>
    </w:p>
    <w:p>
      <w:pPr>
        <w:spacing w:after="0" w:line="151" w:lineRule="exact"/>
        <w:rPr>
          <w:rFonts w:ascii="Arial" w:cs="Arial" w:eastAsia="Arial" w:hAnsi="Arial"/>
          <w:sz w:val="19"/>
          <w:szCs w:val="19"/>
          <w:color w:val="auto"/>
        </w:rPr>
      </w:pPr>
    </w:p>
    <w:p>
      <w:pPr>
        <w:jc w:val="both"/>
        <w:ind w:firstLine="1953"/>
        <w:spacing w:after="0" w:line="253" w:lineRule="auto"/>
        <w:tabs>
          <w:tab w:leader="none" w:pos="235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This Agreement and each of the other Loan Documents signed by an Authorized Officer and, to the extent not previously delivered to the Administrative Agent, stock or other certificates evidencing the pledged Collateral and appropriate transfer powers;</w:t>
      </w:r>
    </w:p>
    <w:p>
      <w:pPr>
        <w:spacing w:after="0" w:line="185" w:lineRule="exact"/>
        <w:rPr>
          <w:rFonts w:ascii="Arial" w:cs="Arial" w:eastAsia="Arial" w:hAnsi="Arial"/>
          <w:sz w:val="22"/>
          <w:szCs w:val="22"/>
          <w:color w:val="auto"/>
        </w:rPr>
      </w:pPr>
    </w:p>
    <w:p>
      <w:pPr>
        <w:ind w:right="420" w:firstLine="1953"/>
        <w:spacing w:after="0" w:line="263" w:lineRule="auto"/>
        <w:tabs>
          <w:tab w:leader="none" w:pos="2311" w:val="left"/>
        </w:tabs>
        <w:numPr>
          <w:ilvl w:val="0"/>
          <w:numId w:val="70"/>
        </w:numPr>
        <w:rPr>
          <w:rFonts w:ascii="Arial" w:cs="Arial" w:eastAsia="Arial" w:hAnsi="Arial"/>
          <w:sz w:val="22"/>
          <w:szCs w:val="22"/>
          <w:color w:val="auto"/>
        </w:rPr>
      </w:pPr>
      <w:r>
        <w:rPr>
          <w:rFonts w:ascii="Arial" w:cs="Arial" w:eastAsia="Arial" w:hAnsi="Arial"/>
          <w:sz w:val="22"/>
          <w:szCs w:val="22"/>
          <w:color w:val="auto"/>
        </w:rPr>
        <w:t>Written opinions of counsel for each Loan Party, dated the Closing Date, each in form and substance acceptable to the Administrative Agent and the Lenders;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600" w:hanging="120"/>
        <w:spacing w:after="0"/>
        <w:tabs>
          <w:tab w:leader="none" w:pos="56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81 -</w:t>
      </w:r>
    </w:p>
    <w:p>
      <w:pPr>
        <w:sectPr>
          <w:pgSz w:w="11900" w:h="16838" w:orient="portrait"/>
          <w:cols w:equalWidth="0" w:num="1">
            <w:col w:w="11420"/>
          </w:cols>
          <w:pgMar w:left="240" w:top="1428" w:right="239" w:bottom="1440" w:gutter="0" w:footer="0" w:header="0"/>
        </w:sectPr>
      </w:pPr>
    </w:p>
    <w:bookmarkStart w:id="95" w:name="page96"/>
    <w:bookmarkEnd w:id="95"/>
    <w:p>
      <w:pPr>
        <w:ind w:left="1960"/>
        <w:spacing w:after="0"/>
        <w:rPr>
          <w:sz w:val="20"/>
          <w:szCs w:val="20"/>
          <w:color w:val="auto"/>
        </w:rPr>
      </w:pPr>
      <w:r>
        <w:rPr>
          <w:rFonts w:ascii="Arial" w:cs="Arial" w:eastAsia="Arial" w:hAnsi="Arial"/>
          <w:sz w:val="19"/>
          <w:szCs w:val="19"/>
          <w:color w:val="auto"/>
        </w:rPr>
        <w:t>(v) Evidence that adequate insurance required to be maintained under this Agreement is in full force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02" w:lineRule="exact"/>
        <w:rPr>
          <w:sz w:val="20"/>
          <w:szCs w:val="20"/>
          <w:color w:val="auto"/>
        </w:rPr>
      </w:pPr>
    </w:p>
    <w:p>
      <w:pPr>
        <w:ind w:left="2320" w:hanging="367"/>
        <w:spacing w:after="0"/>
        <w:tabs>
          <w:tab w:leader="none" w:pos="23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Lien searches for each Loan Party in acceptable scope and with acceptable results;</w:t>
      </w:r>
    </w:p>
    <w:p>
      <w:pPr>
        <w:spacing w:after="0" w:line="219" w:lineRule="exact"/>
        <w:rPr>
          <w:rFonts w:ascii="Arial" w:cs="Arial" w:eastAsia="Arial" w:hAnsi="Arial"/>
          <w:sz w:val="22"/>
          <w:szCs w:val="22"/>
          <w:color w:val="auto"/>
        </w:rPr>
      </w:pPr>
    </w:p>
    <w:p>
      <w:pPr>
        <w:ind w:left="2380" w:hanging="427"/>
        <w:spacing w:after="0"/>
        <w:tabs>
          <w:tab w:leader="none" w:pos="23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material consents required to effectuate the transactions contemplated hereby;</w:t>
      </w:r>
    </w:p>
    <w:p>
      <w:pPr>
        <w:spacing w:after="0" w:line="219" w:lineRule="exact"/>
        <w:rPr>
          <w:rFonts w:ascii="Arial" w:cs="Arial" w:eastAsia="Arial" w:hAnsi="Arial"/>
          <w:sz w:val="22"/>
          <w:szCs w:val="22"/>
          <w:color w:val="auto"/>
        </w:rPr>
      </w:pPr>
    </w:p>
    <w:p>
      <w:pPr>
        <w:ind w:left="2440" w:hanging="487"/>
        <w:spacing w:after="0"/>
        <w:tabs>
          <w:tab w:leader="none" w:pos="24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320" w:hanging="367"/>
        <w:spacing w:after="0"/>
        <w:tabs>
          <w:tab w:leader="none" w:pos="23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 duly completed Compliance Certificate as of the Closing Date, signed by a Senior Officer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2" w:lineRule="exact"/>
        <w:rPr>
          <w:sz w:val="20"/>
          <w:szCs w:val="20"/>
          <w:color w:val="auto"/>
        </w:rPr>
      </w:pPr>
    </w:p>
    <w:p>
      <w:pPr>
        <w:jc w:val="both"/>
        <w:ind w:firstLine="1953"/>
        <w:spacing w:after="0" w:line="302" w:lineRule="auto"/>
        <w:tabs>
          <w:tab w:leader="none" w:pos="2278"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Existing Credit Agreement shall have been amended and restated at closing and all outstanding obligations thereunder shall be deemed to be Obligations hereunder, and such Obligations shall be allocated to each Lender on the Closing Date in accordance with such Lender's Ratable Share; and the Administrative Agent shall have paid all outstanding amounts owed to any lender under the Existing Credit Agreement who is not a Lender under this Agreement;</w:t>
      </w:r>
    </w:p>
    <w:p>
      <w:pPr>
        <w:spacing w:after="0" w:line="142" w:lineRule="exact"/>
        <w:rPr>
          <w:rFonts w:ascii="Arial" w:cs="Arial" w:eastAsia="Arial" w:hAnsi="Arial"/>
          <w:sz w:val="19"/>
          <w:szCs w:val="19"/>
          <w:color w:val="auto"/>
        </w:rPr>
      </w:pPr>
    </w:p>
    <w:p>
      <w:pPr>
        <w:ind w:firstLine="1953"/>
        <w:spacing w:after="0" w:line="263" w:lineRule="auto"/>
        <w:tabs>
          <w:tab w:leader="none" w:pos="2311" w:val="left"/>
        </w:tabs>
        <w:numPr>
          <w:ilvl w:val="0"/>
          <w:numId w:val="72"/>
        </w:numPr>
        <w:rPr>
          <w:rFonts w:ascii="Arial" w:cs="Arial" w:eastAsia="Arial" w:hAnsi="Arial"/>
          <w:sz w:val="22"/>
          <w:szCs w:val="22"/>
          <w:color w:val="auto"/>
        </w:rPr>
      </w:pPr>
      <w:r>
        <w:rPr>
          <w:rFonts w:ascii="Arial" w:cs="Arial" w:eastAsia="Arial" w:hAnsi="Arial"/>
          <w:sz w:val="22"/>
          <w:szCs w:val="22"/>
          <w:color w:val="auto"/>
        </w:rPr>
        <w:t>Satisfactory completion of third-party due diligence, including all environmental due diligence, initiated by the Borrowers as it relates to the transactions contemplated hereby;</w:t>
      </w:r>
    </w:p>
    <w:p>
      <w:pPr>
        <w:spacing w:after="0" w:line="174" w:lineRule="exact"/>
        <w:rPr>
          <w:rFonts w:ascii="Arial" w:cs="Arial" w:eastAsia="Arial" w:hAnsi="Arial"/>
          <w:sz w:val="22"/>
          <w:szCs w:val="22"/>
          <w:color w:val="auto"/>
        </w:rPr>
      </w:pPr>
    </w:p>
    <w:p>
      <w:pPr>
        <w:jc w:val="both"/>
        <w:ind w:firstLine="1953"/>
        <w:spacing w:after="0" w:line="250" w:lineRule="auto"/>
        <w:tabs>
          <w:tab w:leader="none" w:pos="2384"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Administrative Agent and each Lender shall have received, in form and substance acceptable to Administrative Agent and each Lender an executed Certificate of Beneficial Ownership for each Foreign Borrower and such other documentation and other information requested in connection with applicable “know your customer” and anti-money laundering rules and regulations, including the USA Patriot Act;</w:t>
      </w:r>
    </w:p>
    <w:p>
      <w:pPr>
        <w:spacing w:after="0" w:line="188" w:lineRule="exact"/>
        <w:rPr>
          <w:rFonts w:ascii="Arial" w:cs="Arial" w:eastAsia="Arial" w:hAnsi="Arial"/>
          <w:sz w:val="22"/>
          <w:szCs w:val="22"/>
          <w:color w:val="auto"/>
        </w:rPr>
      </w:pPr>
    </w:p>
    <w:p>
      <w:pPr>
        <w:ind w:right="20" w:firstLine="1953"/>
        <w:spacing w:after="0" w:line="343" w:lineRule="auto"/>
        <w:tabs>
          <w:tab w:leader="none" w:pos="2458" w:val="left"/>
        </w:tabs>
        <w:numPr>
          <w:ilvl w:val="0"/>
          <w:numId w:val="72"/>
        </w:numPr>
        <w:rPr>
          <w:rFonts w:ascii="Arial" w:cs="Arial" w:eastAsia="Arial" w:hAnsi="Arial"/>
          <w:sz w:val="19"/>
          <w:szCs w:val="19"/>
          <w:color w:val="auto"/>
        </w:rPr>
      </w:pPr>
      <w:r>
        <w:rPr>
          <w:rFonts w:ascii="Arial" w:cs="Arial" w:eastAsia="Arial" w:hAnsi="Arial"/>
          <w:sz w:val="19"/>
          <w:szCs w:val="19"/>
          <w:color w:val="auto"/>
        </w:rPr>
        <w:t>Satisfactory review of the amount and nature of all tax, ERISA, Canadian Pension Plans, Canadian Benefit Plans, employee retirement benefit and all other contingent liabilities to which the Loan Parties may be subject; and</w:t>
      </w:r>
    </w:p>
    <w:p>
      <w:pPr>
        <w:spacing w:after="0" w:line="104" w:lineRule="exact"/>
        <w:rPr>
          <w:rFonts w:ascii="Arial" w:cs="Arial" w:eastAsia="Arial" w:hAnsi="Arial"/>
          <w:sz w:val="19"/>
          <w:szCs w:val="19"/>
          <w:color w:val="auto"/>
        </w:rPr>
      </w:pPr>
    </w:p>
    <w:p>
      <w:pPr>
        <w:jc w:val="both"/>
        <w:ind w:firstLine="1953"/>
        <w:spacing w:after="0" w:line="248" w:lineRule="auto"/>
        <w:tabs>
          <w:tab w:leader="none" w:pos="2419"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Receipt of such information and documentation as may reasonably be requested by the Administrative Agent or any Lender from time to time for purposes of compliance by the Administrative Agent and such Lender with applicable laws (including without limitation the USA Patriot Act or other “know your customer” and anti-money laundering rules and regulations and Anti-Terrorism Laws), and any policy or procedure implemented by the Administrative Agent or such Bank to comply therewith</w:t>
      </w:r>
    </w:p>
    <w:p>
      <w:pPr>
        <w:spacing w:after="0" w:line="19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Payment of Fees</w:t>
      </w:r>
      <w:r>
        <w:rPr>
          <w:rFonts w:ascii="Arial" w:cs="Arial" w:eastAsia="Arial" w:hAnsi="Arial"/>
          <w:sz w:val="22"/>
          <w:szCs w:val="22"/>
          <w:color w:val="auto"/>
        </w:rPr>
        <w:t>. The Borrowers shall have paid all fees payable on or before the Closing Date as required by this Agreement, the Administrative Agent's Letter or any other Loan Document.</w:t>
      </w:r>
    </w:p>
    <w:p>
      <w:pPr>
        <w:spacing w:after="0" w:line="67" w:lineRule="exact"/>
        <w:rPr>
          <w:sz w:val="20"/>
          <w:szCs w:val="20"/>
          <w:color w:val="auto"/>
        </w:rPr>
      </w:pPr>
    </w:p>
    <w:p>
      <w:pPr>
        <w:ind w:left="80" w:firstLine="648"/>
        <w:spacing w:after="0" w:line="26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Each Loan or Letter of Credit.</w:t>
      </w:r>
      <w:r>
        <w:rPr>
          <w:rFonts w:ascii="Arial" w:cs="Arial" w:eastAsia="Arial" w:hAnsi="Arial"/>
          <w:sz w:val="22"/>
          <w:szCs w:val="22"/>
          <w:color w:val="auto"/>
        </w:rPr>
        <w:t xml:space="preserve"> At the time of making any Loans or issuing, extending or increasing any Letters of Credit and after giving effect to the proposed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- 82 -</w:t>
      </w:r>
    </w:p>
    <w:p>
      <w:pPr>
        <w:sectPr>
          <w:pgSz w:w="11900" w:h="16838" w:orient="portrait"/>
          <w:cols w:equalWidth="0" w:num="1">
            <w:col w:w="11420"/>
          </w:cols>
          <w:pgMar w:left="240" w:top="1428" w:right="239" w:bottom="1440" w:gutter="0" w:footer="0" w:header="0"/>
        </w:sectPr>
      </w:pPr>
    </w:p>
    <w:bookmarkStart w:id="96" w:name="page97"/>
    <w:bookmarkEnd w:id="96"/>
    <w:p>
      <w:pPr>
        <w:jc w:val="both"/>
        <w:ind w:left="80"/>
        <w:spacing w:after="0" w:line="261" w:lineRule="auto"/>
        <w:rPr>
          <w:sz w:val="20"/>
          <w:szCs w:val="20"/>
          <w:color w:val="auto"/>
        </w:rPr>
      </w:pPr>
      <w:r>
        <w:rPr>
          <w:rFonts w:ascii="Arial" w:cs="Arial" w:eastAsia="Arial" w:hAnsi="Arial"/>
          <w:sz w:val="21"/>
          <w:szCs w:val="21"/>
          <w:color w:val="auto"/>
        </w:rPr>
        <w:t>of credit: (i) all representations, warranties of the Loan Parties shall then be true and correct (or to the extent that such representation and warranties refer to an earlier date, as of such earlier date), (ii) no Event of Default or Potential Default shall have occurred and be continuing, (iii) the making of the Loans or issuance, extension or increase of such Letter of Credit shall not contravene any Law applicable to any Loan Party or Subsidiary of any Loan Party or any of the Lenders, and (iv) the Borrowers shall have delivered to the Administrative Agent a duly executed and completed Loan Request or to the Issuing Lender an application for a Letter of Credit, as the case may be.</w:t>
      </w:r>
    </w:p>
    <w:p>
      <w:pPr>
        <w:spacing w:after="0" w:line="180" w:lineRule="exact"/>
        <w:rPr>
          <w:sz w:val="20"/>
          <w:szCs w:val="20"/>
          <w:color w:val="auto"/>
        </w:rPr>
      </w:pPr>
    </w:p>
    <w:p>
      <w:pPr>
        <w:ind w:left="5160" w:hanging="208"/>
        <w:spacing w:after="0"/>
        <w:tabs>
          <w:tab w:leader="none" w:pos="51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COVENANTS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Loan Parties, jointly and severally, covenant and agree that until Payment In Full, the Loan Parties shall comply at all times with the following covenants: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Affirmative Covenants.</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Preservation of Existence, Etc</w:t>
      </w:r>
      <w:r>
        <w:rPr>
          <w:rFonts w:ascii="Arial" w:cs="Arial" w:eastAsia="Arial" w:hAnsi="Arial"/>
          <w:sz w:val="22"/>
          <w:szCs w:val="22"/>
          <w:color w:val="auto"/>
        </w:rPr>
        <w:t>. Each Loan Party shall, and shall cause each of its Subsidiaries to, maintain its legal existence as a corporation, limited partnership or limited liability company (or foreign equivalent) and its license or qualification and good standing (or foreign equivalent) in each jurisdiction in which its ownership or lease of property or the nature of its business makes such license or qualification necessary, except as otherwise expressly permitted in Section 8.2.6 [Liquidations, Mergers, Consolidations, and Acquisitions].</w:t>
      </w:r>
    </w:p>
    <w:p>
      <w:pPr>
        <w:spacing w:after="0" w:line="19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Payment of Liabilities, Including Taxes, Etc</w:t>
      </w:r>
      <w:r>
        <w:rPr>
          <w:rFonts w:ascii="Arial" w:cs="Arial" w:eastAsia="Arial" w:hAnsi="Arial"/>
          <w:sz w:val="19"/>
          <w:szCs w:val="19"/>
          <w:color w:val="auto"/>
        </w:rPr>
        <w:t>. Each Loan Party shall, and shall cause each of its Subsidiaries to, duly pay and discharge all Priority Payables and all liabilities to which it is subject or which are asserted against it, promptly as and when the same shall become due and payable (subject, where applicable, to specified grace periods and, in the case of trade payables, to normal payment practices) except where such failure could not reasonably be expected to result in a Material Adverse Change or where such liabilities are being contested in good faith and by appropriate and lawful proceedings diligently conducted and for which such reserve or other appropriate provisions, if any, as shall be required by GAAP shall have been made. Each Loan Party shall, and shall cause each of its Subsidiaries to duly pay and discharge,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spacing w:after="0" w:line="15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8.1.3 </w:t>
      </w:r>
      <w:r>
        <w:rPr>
          <w:rFonts w:ascii="Arial" w:cs="Arial" w:eastAsia="Arial" w:hAnsi="Arial"/>
          <w:sz w:val="21"/>
          <w:szCs w:val="21"/>
          <w:u w:val="single" w:color="auto"/>
          <w:color w:val="auto"/>
        </w:rPr>
        <w:t>Maintenance of Insurance</w:t>
      </w:r>
      <w:r>
        <w:rPr>
          <w:rFonts w:ascii="Arial" w:cs="Arial" w:eastAsia="Arial" w:hAnsi="Arial"/>
          <w:sz w:val="21"/>
          <w:szCs w:val="21"/>
          <w:color w:val="auto"/>
        </w:rPr>
        <w:t>.8.1.4 Each Loan Party shall, and shall cause each of its Subsidiaries to, maintain insurance with responsible companies in such amounts and against such risks as is usually carried by companies of established repute engaged in the same or similar businesses, owning similar properties and located in the same general areas as the Company and its Subsidiaries. At the request of the Administrative Agent, the Loan Parties shall deliver to the Administrative Agent and each of the Lenders (x) on the Closing Date and annually thereafter an original certificate of insurance signed by the Loan Parties’ independent insurance broker describing and certifying as to the existence of the insurance on the Collateral required to be maintained by this Agreement and the other Loan Documents, together with a copy of the endorsement described in the next sentence attached to such certificate, and (y) from time to time a summary schedule indicating all insurance then in force with respect to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ectPr>
          <w:pgSz w:w="11900" w:h="16838" w:orient="portrait"/>
          <w:cols w:equalWidth="0" w:num="1">
            <w:col w:w="11420"/>
          </w:cols>
          <w:pgMar w:left="240" w:top="1428" w:right="239" w:bottom="1440" w:gutter="0" w:footer="0" w:header="0"/>
        </w:sectPr>
      </w:pPr>
    </w:p>
    <w:bookmarkStart w:id="97" w:name="page98"/>
    <w:bookmarkEnd w:id="97"/>
    <w:p>
      <w:pPr>
        <w:jc w:val="both"/>
        <w:spacing w:after="0" w:line="288" w:lineRule="auto"/>
        <w:rPr>
          <w:sz w:val="20"/>
          <w:szCs w:val="20"/>
          <w:color w:val="auto"/>
        </w:rPr>
      </w:pPr>
      <w:r>
        <w:rPr>
          <w:rFonts w:ascii="Arial" w:cs="Arial" w:eastAsia="Arial" w:hAnsi="Arial"/>
          <w:sz w:val="19"/>
          <w:szCs w:val="19"/>
          <w:color w:val="auto"/>
        </w:rPr>
        <w:t>Loan Parties. Such policies of insurance shall contain special endorsements which include the provisions specified below or are otherwise in form acceptable to the Administrative Agent in its discretion. The applicable Loan Parties shall notify the Administrative Agent promptly of any occurrence causing a material loss of the Collateral and the estimated (or actual, if available) amount of such loss or decline. Any monies received by the Administrative Agent constituting insurance proceeds may, at the option of the Administrative Agent, (i) in the case of property insurance proceeds received during the existence of an Event of Default, be applied by the Administrative Agent to the payment of the Obligations in accordance with the terms of the Credit Agreement, (ii) for losses of less than Five Million and 00/100 Dollars ($5,000,000) received at such time as no Event of Default or Potential Default exists, be disbursed by the Administrative Agent to the applicable Loan Parties, and (iii) for losses equal to or greater than Five Million and 00/100 Dollars ($5,000,000) be applied by the Administrative Agent in accordance with clause (i) of Section 5.7.6 [Additional Mandatory Prepayments and Section 5.7.2 [Application Among Interest Rate Options].</w:t>
      </w:r>
    </w:p>
    <w:p>
      <w:pPr>
        <w:spacing w:after="0" w:line="160"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Maintenance of Properties and Leases</w:t>
      </w:r>
      <w:r>
        <w:rPr>
          <w:rFonts w:ascii="Arial" w:cs="Arial" w:eastAsia="Arial" w:hAnsi="Arial"/>
          <w:sz w:val="22"/>
          <w:szCs w:val="22"/>
          <w:color w:val="auto"/>
        </w:rPr>
        <w:t>. Each Loan Party shall, and shall cause each of its Subsidiaries to, maintain in good repair, working order and condition (ordinary wear and tear excepted) in accordance with the general practice of other businesses of similar product line, character and size, all of those properties useful or necessary to its business, and from time to time, such Loan Party will make or cause to be made all appropriate repairs, renewals or replacements thereof</w:t>
      </w:r>
    </w:p>
    <w:p>
      <w:pPr>
        <w:spacing w:after="0" w:line="19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8.1.5 </w:t>
      </w:r>
      <w:r>
        <w:rPr>
          <w:rFonts w:ascii="Arial" w:cs="Arial" w:eastAsia="Arial" w:hAnsi="Arial"/>
          <w:sz w:val="19"/>
          <w:szCs w:val="19"/>
          <w:u w:val="single" w:color="auto"/>
          <w:color w:val="auto"/>
        </w:rPr>
        <w:t>Visitation Rights</w:t>
      </w:r>
      <w:r>
        <w:rPr>
          <w:rFonts w:ascii="Arial" w:cs="Arial" w:eastAsia="Arial" w:hAnsi="Arial"/>
          <w:sz w:val="19"/>
          <w:szCs w:val="19"/>
          <w:color w:val="auto"/>
        </w:rPr>
        <w:t xml:space="preserve">.8.1.6 Each Loan Party shall, and shall cause each of its Subsidiaries to, permit any of the officers or authorized employees or representatives of the Administrative Agent and, in the case that an Event of Default has occurred and is continuing,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shall provide the Borrowers and the Administrative Agent with reasonable notice prior to any visit or inspection. In the event any Lender desires to conduct an audit of any Loan Party, such Lender shall make a reasonable effort to conduct such audit contemporaneously with any audit to be performed by the Administrative Agent. At the request of the Administrative Agent or the Required Lenders, the Administrative Agent shall have the right to conduct one field exam, one inventory appraisal and one fixed asset appraisal of the Collateral and certain other assets of the Company and its Subsidiaries as required by the Administrative Agent during each such fiscal year of the Company, each of which shall be conducted by an independent examiner selected by the Administrative Agent, shall be at the sole cost and expense of the Loan Parties. Notwithstanding anything to the contrary herein, if an Event of Default has occurred and is continuing, the Administrative Agent may require additional field exams, inventory appraisals and fixed asset appraisals, each of which shall be at the Loan Parties’ expense.</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8.1.6 </w:t>
      </w: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The Borrowers shall, and shall cause each Subsidiary of each Borrower to, maintain and keep proper books of record and account which enable the Company and its Subsidiaries to issue financial statements in accordance with GAAP and as otherwise required by applicable Laws of any Official Body having jurisdiction over the Borrowers or any Subsidiary of the Borrowers, and in which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ectPr>
          <w:pgSz w:w="11900" w:h="16838" w:orient="portrait"/>
          <w:cols w:equalWidth="0" w:num="1">
            <w:col w:w="11420"/>
          </w:cols>
          <w:pgMar w:left="240" w:top="1428"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true and correct entries shall be made in all material respects of all its dealings and business and financial affairs.</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8.1.7 </w:t>
      </w:r>
      <w:r>
        <w:rPr>
          <w:rFonts w:ascii="Arial" w:cs="Arial" w:eastAsia="Arial" w:hAnsi="Arial"/>
          <w:sz w:val="22"/>
          <w:szCs w:val="22"/>
          <w:u w:val="single" w:color="auto"/>
          <w:color w:val="auto"/>
        </w:rPr>
        <w:t>Compliance with Laws; Use of Proceeds</w:t>
      </w:r>
      <w:r>
        <w:rPr>
          <w:rFonts w:ascii="Arial" w:cs="Arial" w:eastAsia="Arial" w:hAnsi="Arial"/>
          <w:sz w:val="22"/>
          <w:szCs w:val="22"/>
          <w:color w:val="auto"/>
        </w:rPr>
        <w:t xml:space="preserve">. Each Loan Party shall, and shall cause each of its Subsidiaries to, comply with all applicable Laws, including all Environmental Laws, in all respects;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it shall not be deemed to be a violation of this Section 8.1.7 if any failure to comply with any Law would not result in fines, penalties, remediation costs, other similar liabilities or injunctive relief which in the aggregate would reasonably be expected to constitute a Material Adverse Change. The Loan Parties will use the Letters of Credit and the proceeds of the Loans only in accordance with Section 2.7 [Use of Proceeds] and as permitted by applicable Law.</w:t>
      </w:r>
    </w:p>
    <w:p>
      <w:pPr>
        <w:spacing w:after="0" w:line="19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8.1.8 </w:t>
      </w:r>
      <w:r>
        <w:rPr>
          <w:rFonts w:ascii="Arial" w:cs="Arial" w:eastAsia="Arial" w:hAnsi="Arial"/>
          <w:sz w:val="19"/>
          <w:szCs w:val="19"/>
          <w:u w:val="single" w:color="auto"/>
          <w:color w:val="auto"/>
        </w:rPr>
        <w:t>Anti-Terrorism Laws; International Trade Law Compliance</w:t>
      </w:r>
      <w:r>
        <w:rPr>
          <w:rFonts w:ascii="Arial" w:cs="Arial" w:eastAsia="Arial" w:hAnsi="Arial"/>
          <w:sz w:val="19"/>
          <w:szCs w:val="19"/>
          <w:color w:val="auto"/>
        </w:rPr>
        <w:t>.(a) (a) No Covered Entity will become a Sanctioned Person, (b)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w:t>
      </w:r>
    </w:p>
    <w:p>
      <w:pPr>
        <w:spacing w:after="0" w:line="4" w:lineRule="exact"/>
        <w:rPr>
          <w:sz w:val="20"/>
          <w:szCs w:val="20"/>
          <w:color w:val="auto"/>
        </w:rPr>
      </w:pPr>
    </w:p>
    <w:p>
      <w:pPr>
        <w:jc w:val="both"/>
        <w:ind w:firstLine="8"/>
        <w:spacing w:after="0" w:line="295" w:lineRule="auto"/>
        <w:tabs>
          <w:tab w:leader="none" w:pos="3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use the Loans to fund any operations in, finance any investments or activities in, or, make any payments to, a Sanctioned Country or Sanctioned Person in violation of any Anti-Terrorism Law, (c) the funds used to repay the Obligations will not be derived from any unlawful activity, (d) each Covered Entity shall comply with all Anti-Terrorism Laws, and (e) the Borrower shall promptly notify the Agent in writing upon the occurrence of a Reportable Compliance Event.</w:t>
      </w:r>
    </w:p>
    <w:p>
      <w:pPr>
        <w:spacing w:after="0" w:line="150" w:lineRule="exact"/>
        <w:rPr>
          <w:sz w:val="20"/>
          <w:szCs w:val="20"/>
          <w:color w:val="auto"/>
        </w:rPr>
      </w:pPr>
    </w:p>
    <w:p>
      <w:pPr>
        <w:jc w:val="both"/>
        <w:ind w:firstLine="1297"/>
        <w:spacing w:after="0" w:line="262" w:lineRule="exact"/>
        <w:rPr>
          <w:sz w:val="20"/>
          <w:szCs w:val="20"/>
          <w:color w:val="auto"/>
        </w:rPr>
      </w:pPr>
      <w:r>
        <w:rPr>
          <w:rFonts w:ascii="Arial" w:cs="Arial" w:eastAsia="Arial" w:hAnsi="Arial"/>
          <w:sz w:val="19"/>
          <w:szCs w:val="19"/>
          <w:color w:val="auto"/>
        </w:rPr>
        <w:t xml:space="preserve">8.1.9 </w:t>
      </w:r>
      <w:r>
        <w:rPr>
          <w:rFonts w:ascii="Arial" w:cs="Arial" w:eastAsia="Arial" w:hAnsi="Arial"/>
          <w:sz w:val="19"/>
          <w:szCs w:val="19"/>
          <w:u w:val="single" w:color="auto"/>
          <w:color w:val="auto"/>
        </w:rPr>
        <w:t>Keepwell</w:t>
      </w:r>
      <w:r>
        <w:rPr>
          <w:rFonts w:ascii="Arial" w:cs="Arial" w:eastAsia="Arial" w:hAnsi="Arial"/>
          <w:sz w:val="19"/>
          <w:szCs w:val="19"/>
          <w:color w:val="auto"/>
        </w:rPr>
        <w:t>.(a)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w:t>
      </w:r>
      <w:r>
        <w:rPr>
          <w:rFonts w:ascii="MS PGothic" w:cs="MS PGothic" w:eastAsia="MS PGothic" w:hAnsi="MS PGothic"/>
          <w:sz w:val="19"/>
          <w:szCs w:val="19"/>
          <w:color w:val="auto"/>
        </w:rPr>
        <w:t>‑</w:t>
      </w:r>
      <w:r>
        <w:rPr>
          <w:rFonts w:ascii="Arial" w:cs="Arial" w:eastAsia="Arial" w:hAnsi="Arial"/>
          <w:sz w:val="19"/>
          <w:szCs w:val="19"/>
          <w:color w:val="auto"/>
        </w:rPr>
        <w:t>Qualifying Party's obligations under this Agreement or any other Loan Document in respect of Swap Obligations (provided, however, that each Qualified ECP Loan Party shall only be liable under this Section 8.1.9 for the maximum amount of such liability that can be hereby incurred without rendering its obligations under this Section 8.1.9, or otherwise under this Agreement or any other Loan Document, voidable under applicable law, including applicable law relating to fraudulent conveyance or fraudulent transfer, and not for any greater amount). The obligations of each Qualified ECP Loan Party under this Section 8.1.9 shall remain in full force and effect until Payment In Full of the Obligations and termination of this Agreement and the other Loan Documents. Each Qualified ECP Loan Party intends that this Section 8.1.9 constitute, and this Section 8.1.9 shall be deemed to constitute, a guarantee of the obligations of, and a "keepwell, support, or other agreement" for the benefit of each other Loan Party for all purposes of Section 1a(18(A)(v)(II)) of the CEA.</w:t>
      </w: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8.1.10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color w:val="auto"/>
        </w:rPr>
        <w:t xml:space="preserve">8.1.11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Loan Party shall, from time to time, at its expense, faithfully preserve and protect the Administrative Agent's Lien on and Prior Security Interest in the Collateral, and shall do such other acts and things as the Administrative Agent in its sole discretion may deem necessary or advisable from time to time in order to preserve,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- 85 -</w:t>
      </w:r>
    </w:p>
    <w:p>
      <w:pPr>
        <w:sectPr>
          <w:pgSz w:w="11900" w:h="16838" w:orient="portrait"/>
          <w:cols w:equalWidth="0" w:num="1">
            <w:col w:w="11420"/>
          </w:cols>
          <w:pgMar w:left="240" w:top="1428" w:right="239" w:bottom="1440" w:gutter="0" w:footer="0" w:header="0"/>
        </w:sectPr>
      </w:pPr>
    </w:p>
    <w:bookmarkStart w:id="99" w:name="page100"/>
    <w:bookmarkEnd w:id="99"/>
    <w:p>
      <w:pPr>
        <w:jc w:val="both"/>
        <w:spacing w:after="0" w:line="263" w:lineRule="auto"/>
        <w:rPr>
          <w:sz w:val="20"/>
          <w:szCs w:val="20"/>
          <w:color w:val="auto"/>
        </w:rPr>
      </w:pPr>
      <w:r>
        <w:rPr>
          <w:rFonts w:ascii="Arial" w:cs="Arial" w:eastAsia="Arial" w:hAnsi="Arial"/>
          <w:sz w:val="22"/>
          <w:szCs w:val="22"/>
          <w:color w:val="auto"/>
        </w:rPr>
        <w:t>perfect and protect the Liens granted under the Collateral Documents and to exercise and enforce its rights and remedies thereunder with respect to the Collateral.</w:t>
      </w:r>
    </w:p>
    <w:p>
      <w:pPr>
        <w:spacing w:after="0" w:line="17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8.1.12 </w:t>
      </w:r>
      <w:r>
        <w:rPr>
          <w:rFonts w:ascii="Arial" w:cs="Arial" w:eastAsia="Arial" w:hAnsi="Arial"/>
          <w:sz w:val="19"/>
          <w:szCs w:val="19"/>
          <w:u w:val="single" w:color="auto"/>
          <w:color w:val="auto"/>
        </w:rPr>
        <w:t>Additional Information</w:t>
      </w:r>
      <w:r>
        <w:rPr>
          <w:rFonts w:ascii="Arial" w:cs="Arial" w:eastAsia="Arial" w:hAnsi="Arial"/>
          <w:sz w:val="19"/>
          <w:szCs w:val="19"/>
          <w:color w:val="auto"/>
        </w:rPr>
        <w:t>.8.1.13 Each Loan Party shall provide to the Administrative Agent and the Lenders such information and documentation as may reasonably be requested by the Administrative Agent or any Lender from time to time for purposes of compliance by the Administrative Agent and such Lender with applicable laws (including without limitation the USA Patriot Act, Anti-Terrorism Laws and other “know your customer” and anti-money laundering rules and regulations), and any policy or procedure implemented by the Administrative Agent or such Lender to comply therewith.</w:t>
      </w:r>
    </w:p>
    <w:p>
      <w:pPr>
        <w:spacing w:after="0" w:line="14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8.1.13 </w:t>
      </w:r>
      <w:r>
        <w:rPr>
          <w:rFonts w:ascii="Arial" w:cs="Arial" w:eastAsia="Arial" w:hAnsi="Arial"/>
          <w:sz w:val="19"/>
          <w:szCs w:val="19"/>
          <w:u w:val="single" w:color="auto"/>
          <w:color w:val="auto"/>
        </w:rPr>
        <w:t>Certificate of Beneficial Ownership and Other Additional Information</w:t>
      </w:r>
      <w:r>
        <w:rPr>
          <w:rFonts w:ascii="Arial" w:cs="Arial" w:eastAsia="Arial" w:hAnsi="Arial"/>
          <w:sz w:val="19"/>
          <w:szCs w:val="19"/>
          <w:color w:val="auto"/>
        </w:rPr>
        <w:t>. Each Loan Party shall provide to the Administrative Agent and the Lenders: (i) confirmation of the accuracy of the information set forth in the most recent Certificate of Beneficial Ownership provided to the Administrative Agent and Lenders; (ii) a new Certificate of Beneficial Ownership, in form and substance acceptable to Administrative Agent and each Lenders, when the individual(s) to be identified as a Beneficial Owner have changed; and (iii)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Negative Covenants.</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8.2.1 </w:t>
      </w:r>
      <w:r>
        <w:rPr>
          <w:rFonts w:ascii="Arial" w:cs="Arial" w:eastAsia="Arial" w:hAnsi="Arial"/>
          <w:sz w:val="22"/>
          <w:szCs w:val="22"/>
          <w:u w:val="single" w:color="auto"/>
          <w:color w:val="auto"/>
        </w:rPr>
        <w:t>Indebtedness</w:t>
      </w:r>
      <w:r>
        <w:rPr>
          <w:rFonts w:ascii="Arial" w:cs="Arial" w:eastAsia="Arial" w:hAnsi="Arial"/>
          <w:sz w:val="22"/>
          <w:szCs w:val="22"/>
          <w:color w:val="auto"/>
        </w:rPr>
        <w:t>. Each of the Loan Parties shall not, and shall not permit any of its Subsidiaries to, at any time create, incur, assume or suffer to exist any Indebtedness, except:</w:t>
      </w:r>
    </w:p>
    <w:p>
      <w:pPr>
        <w:spacing w:after="0" w:line="175" w:lineRule="exact"/>
        <w:rPr>
          <w:sz w:val="20"/>
          <w:szCs w:val="20"/>
          <w:color w:val="auto"/>
        </w:rPr>
      </w:pPr>
    </w:p>
    <w:p>
      <w:pPr>
        <w:ind w:left="2220" w:hanging="267"/>
        <w:spacing w:after="0"/>
        <w:tabs>
          <w:tab w:leader="none" w:pos="22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Indebtedness under the Loan Documents;</w:t>
      </w:r>
    </w:p>
    <w:p>
      <w:pPr>
        <w:spacing w:after="0" w:line="219" w:lineRule="exact"/>
        <w:rPr>
          <w:rFonts w:ascii="Arial" w:cs="Arial" w:eastAsia="Arial" w:hAnsi="Arial"/>
          <w:sz w:val="22"/>
          <w:szCs w:val="22"/>
          <w:color w:val="auto"/>
        </w:rPr>
      </w:pPr>
    </w:p>
    <w:p>
      <w:pPr>
        <w:jc w:val="both"/>
        <w:ind w:firstLine="1953"/>
        <w:spacing w:after="0" w:line="253" w:lineRule="auto"/>
        <w:tabs>
          <w:tab w:leader="none" w:pos="233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Existing Indebtedness as set forth on </w:t>
      </w:r>
      <w:r>
        <w:rPr>
          <w:rFonts w:ascii="Arial" w:cs="Arial" w:eastAsia="Arial" w:hAnsi="Arial"/>
          <w:sz w:val="22"/>
          <w:szCs w:val="22"/>
          <w:u w:val="single" w:color="auto"/>
          <w:color w:val="auto"/>
        </w:rPr>
        <w:t>Schedule 8.2.1</w:t>
      </w:r>
      <w:r>
        <w:rPr>
          <w:rFonts w:ascii="Arial" w:cs="Arial" w:eastAsia="Arial" w:hAnsi="Arial"/>
          <w:sz w:val="22"/>
          <w:szCs w:val="22"/>
          <w:color w:val="auto"/>
        </w:rPr>
        <w:t xml:space="preserve"> (including any extensions or renewals or replacement financing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there is no increase in the amount thereof or other significant change in the terms thereof unless otherwise specified on </w:t>
      </w:r>
      <w:r>
        <w:rPr>
          <w:rFonts w:ascii="Arial" w:cs="Arial" w:eastAsia="Arial" w:hAnsi="Arial"/>
          <w:sz w:val="22"/>
          <w:szCs w:val="22"/>
          <w:u w:val="single" w:color="auto"/>
          <w:color w:val="auto"/>
        </w:rPr>
        <w:t>Schedule 8.2.1</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953"/>
        <w:spacing w:after="0" w:line="253" w:lineRule="auto"/>
        <w:tabs>
          <w:tab w:leader="none" w:pos="23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Indebtedness incurred with respect to Purchase Money Security Interests, capitalized leases and other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Indebtedness shall not exceed $30,000,000 in the aggregate at any one time outstanding;</w:t>
      </w:r>
    </w:p>
    <w:p>
      <w:pPr>
        <w:spacing w:after="0" w:line="185" w:lineRule="exact"/>
        <w:rPr>
          <w:rFonts w:ascii="Arial" w:cs="Arial" w:eastAsia="Arial" w:hAnsi="Arial"/>
          <w:sz w:val="22"/>
          <w:szCs w:val="22"/>
          <w:color w:val="auto"/>
        </w:rPr>
      </w:pPr>
    </w:p>
    <w:p>
      <w:pPr>
        <w:ind w:firstLine="1953"/>
        <w:spacing w:after="0" w:line="263" w:lineRule="auto"/>
        <w:tabs>
          <w:tab w:leader="none" w:pos="2311"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Indebtedness of a Loan Party to another Loan Party or to a wholly-owned Excluded Subsidiary which is subordinated pursuant to the Intercompany Subordination Agreement;</w:t>
      </w:r>
    </w:p>
    <w:p>
      <w:pPr>
        <w:spacing w:after="0" w:line="174" w:lineRule="exact"/>
        <w:rPr>
          <w:rFonts w:ascii="Arial" w:cs="Arial" w:eastAsia="Arial" w:hAnsi="Arial"/>
          <w:sz w:val="22"/>
          <w:szCs w:val="22"/>
          <w:color w:val="auto"/>
        </w:rPr>
      </w:pPr>
    </w:p>
    <w:p>
      <w:pPr>
        <w:ind w:right="80" w:firstLine="1953"/>
        <w:spacing w:after="0" w:line="302" w:lineRule="auto"/>
        <w:tabs>
          <w:tab w:leader="none" w:pos="2251"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(i) Lender Provided Interest Rate Hedge, (ii) Lender Provided Foreign Currency Hedge, (iii) Lender Provided Commodity Hedge, (iv) other Interest Rate Hedge, approved by the Administrative Agent or (v) Indebtedness under any Other Lender Provided Financial Services Product; provided however, the Loan Parties and their Subsidiaries shall enter into a Lender Provided Interest Rate Hedge or another Interest Rate Hedge only for hedging (rather than speculative) purposes;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9" w:lineRule="exact"/>
        <w:rPr>
          <w:rFonts w:ascii="Arial" w:cs="Arial" w:eastAsia="Arial" w:hAnsi="Arial"/>
          <w:sz w:val="19"/>
          <w:szCs w:val="19"/>
          <w:color w:val="auto"/>
        </w:rPr>
      </w:pPr>
    </w:p>
    <w:p>
      <w:pPr>
        <w:ind w:left="5600" w:hanging="120"/>
        <w:spacing w:after="0"/>
        <w:tabs>
          <w:tab w:leader="none" w:pos="56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86 -</w:t>
      </w:r>
    </w:p>
    <w:p>
      <w:pPr>
        <w:sectPr>
          <w:pgSz w:w="11900" w:h="16838" w:orient="portrait"/>
          <w:cols w:equalWidth="0" w:num="1">
            <w:col w:w="11420"/>
          </w:cols>
          <w:pgMar w:left="240" w:top="1428" w:right="239" w:bottom="1440" w:gutter="0" w:footer="0" w:header="0"/>
        </w:sectPr>
      </w:pPr>
    </w:p>
    <w:bookmarkStart w:id="100" w:name="page101"/>
    <w:bookmarkEnd w:id="100"/>
    <w:p>
      <w:pPr>
        <w:ind w:left="1960"/>
        <w:spacing w:after="0"/>
        <w:rPr>
          <w:sz w:val="20"/>
          <w:szCs w:val="20"/>
          <w:color w:val="auto"/>
        </w:rPr>
      </w:pPr>
      <w:r>
        <w:rPr>
          <w:rFonts w:ascii="Arial" w:cs="Arial" w:eastAsia="Arial" w:hAnsi="Arial"/>
          <w:sz w:val="22"/>
          <w:szCs w:val="22"/>
          <w:color w:val="auto"/>
        </w:rPr>
        <w:t>(vi) Indebtedness of an Excluded Subsidiary to another Excluded Subsidiary.</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8.2.2 </w:t>
      </w:r>
      <w:r>
        <w:rPr>
          <w:rFonts w:ascii="Arial" w:cs="Arial" w:eastAsia="Arial" w:hAnsi="Arial"/>
          <w:sz w:val="19"/>
          <w:szCs w:val="19"/>
          <w:u w:val="single" w:color="auto"/>
          <w:color w:val="auto"/>
        </w:rPr>
        <w:t>Liens; Lien Covenants</w:t>
      </w:r>
      <w:r>
        <w:rPr>
          <w:rFonts w:ascii="Arial" w:cs="Arial" w:eastAsia="Arial" w:hAnsi="Arial"/>
          <w:sz w:val="19"/>
          <w:szCs w:val="19"/>
          <w:color w:val="auto"/>
        </w:rPr>
        <w:t>. Each of the Loan Parties shall not, and shall not permit any of its Subsidiaries to (a) at any time create, incur, assume or suffer to exist any Lien on any of its property or assets, tangible or intangible, now owned or hereafter acquired, or agree or become liable to do so, except Permitted Liens; or (b) enter into or suffer to exist any agreement with any Person which prohibits or limits the ability of any Borrower to create, incur, assume or suffer to exist any Lien upon or with respect to any property or assets of any kind, real or personal, tangible or intangible, now owned or hereafter acquired (including, without limitation Equipment, Investment Property and Real Property), other than (i) such agreements in favor of the Administrative Agent or the Lenders, and (ii) capital leases and purchase money financing agreements which restrict Liens on the tangible personal property financed by such agreements, and other financing agreements entered into as permitted under Section 8.2.1(iii) which restrict Liens on assets, provided that such restrictions on Liens relating to assets located in the United States shall be limited to fixed assets; provided further that all assets subject to the restrictions in this Section 8.2.2(ii) shall have a fair market value of not more than $30,000,000 in the aggregate.</w:t>
      </w:r>
    </w:p>
    <w:p>
      <w:pPr>
        <w:spacing w:after="0" w:line="1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8.2.3 </w:t>
      </w:r>
      <w:r>
        <w:rPr>
          <w:rFonts w:ascii="Arial" w:cs="Arial" w:eastAsia="Arial" w:hAnsi="Arial"/>
          <w:sz w:val="21"/>
          <w:szCs w:val="21"/>
          <w:u w:val="single" w:color="auto"/>
          <w:color w:val="auto"/>
        </w:rPr>
        <w:t>Guaranties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8.2.3</w:t>
      </w:r>
      <w:r>
        <w:rPr>
          <w:rFonts w:ascii="Arial" w:cs="Arial" w:eastAsia="Arial" w:hAnsi="Arial"/>
          <w:sz w:val="21"/>
          <w:szCs w:val="21"/>
          <w:color w:val="auto"/>
        </w:rPr>
        <w:t xml:space="preserve"> or as otherwise permitted under this Agreement, each of the Loan Parties shall not, and shall not permit any of its Subsidiaries to, at any time, directly or indirectly, become or be liable in respect of any Guaranty, or assume, guarantee, become surety for, endorse or otherwise agree, become or remain directly or contingently liable upon or with respect to any obligation or liability in excess of $5,000,000 in the aggregate of all other Persons, except for Guaranties of Indebtedness of the Loan Parties and their Subsidiaries permitted hereunder; provided that any Loan Party may provide performance guaranties to third parties in the ordinary course of business with respect to contractual obligations of another Loan Party.</w:t>
      </w:r>
    </w:p>
    <w:p>
      <w:pPr>
        <w:spacing w:after="0" w:line="18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8.2.4 </w:t>
      </w:r>
      <w:r>
        <w:rPr>
          <w:rFonts w:ascii="Arial" w:cs="Arial" w:eastAsia="Arial" w:hAnsi="Arial"/>
          <w:sz w:val="22"/>
          <w:szCs w:val="22"/>
          <w:u w:val="single" w:color="auto"/>
          <w:color w:val="auto"/>
        </w:rPr>
        <w:t>Loans and Investments</w:t>
      </w:r>
      <w:r>
        <w:rPr>
          <w:rFonts w:ascii="Arial" w:cs="Arial" w:eastAsia="Arial" w:hAnsi="Arial"/>
          <w:sz w:val="22"/>
          <w:szCs w:val="22"/>
          <w:color w:val="auto"/>
        </w:rPr>
        <w:t>. Each of the Loan Parties shall not, and shall not permit any of its Subsidiaries to, at any time make or suffer to remain outstanding any loan or advance to, or purchase, acquire or own any stock, bonds, notes or securities of, or any partnership interest (whether general or limited) or limited liability company interest in, or any other Equity Interests or investment or interest in, or make any capital contribution to, any other Person, or agree, become or remain liable to do any of the foregoing, except:</w:t>
      </w:r>
    </w:p>
    <w:p>
      <w:pPr>
        <w:spacing w:after="0" w:line="192" w:lineRule="exact"/>
        <w:rPr>
          <w:sz w:val="20"/>
          <w:szCs w:val="20"/>
          <w:color w:val="auto"/>
        </w:rPr>
      </w:pPr>
    </w:p>
    <w:p>
      <w:pPr>
        <w:ind w:left="2220" w:hanging="267"/>
        <w:spacing w:after="0"/>
        <w:tabs>
          <w:tab w:leader="none" w:pos="22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loans and investments existing on the Closing Date as set forth on </w:t>
      </w:r>
      <w:r>
        <w:rPr>
          <w:rFonts w:ascii="Arial" w:cs="Arial" w:eastAsia="Arial" w:hAnsi="Arial"/>
          <w:sz w:val="22"/>
          <w:szCs w:val="22"/>
          <w:u w:val="single" w:color="auto"/>
          <w:color w:val="auto"/>
        </w:rPr>
        <w:t>Schedule 8.2.4</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280" w:hanging="327"/>
        <w:spacing w:after="0"/>
        <w:tabs>
          <w:tab w:leader="none" w:pos="22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trade credit extended on usual and customary terms in the ordinary course of business;</w:t>
      </w:r>
    </w:p>
    <w:p>
      <w:pPr>
        <w:spacing w:after="0" w:line="219" w:lineRule="exact"/>
        <w:rPr>
          <w:rFonts w:ascii="Arial" w:cs="Arial" w:eastAsia="Arial" w:hAnsi="Arial"/>
          <w:sz w:val="22"/>
          <w:szCs w:val="22"/>
          <w:color w:val="auto"/>
        </w:rPr>
      </w:pPr>
    </w:p>
    <w:p>
      <w:pPr>
        <w:ind w:left="2340" w:hanging="387"/>
        <w:spacing w:after="0"/>
        <w:tabs>
          <w:tab w:leader="none" w:pos="2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advances to employees to meet expenses incurred by such employees in the ordinary course of business;</w:t>
      </w:r>
    </w:p>
    <w:p>
      <w:pPr>
        <w:spacing w:after="0" w:line="254" w:lineRule="exact"/>
        <w:rPr>
          <w:rFonts w:ascii="Arial" w:cs="Arial" w:eastAsia="Arial" w:hAnsi="Arial"/>
          <w:sz w:val="19"/>
          <w:szCs w:val="19"/>
          <w:color w:val="auto"/>
        </w:rPr>
      </w:pPr>
    </w:p>
    <w:p>
      <w:pPr>
        <w:ind w:left="2320" w:hanging="367"/>
        <w:spacing w:after="0"/>
        <w:tabs>
          <w:tab w:leader="none" w:pos="23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Permitted Investments and Permitted Acquisitions;</w:t>
      </w:r>
    </w:p>
    <w:p>
      <w:pPr>
        <w:spacing w:after="0" w:line="219" w:lineRule="exact"/>
        <w:rPr>
          <w:rFonts w:ascii="Arial" w:cs="Arial" w:eastAsia="Arial" w:hAnsi="Arial"/>
          <w:sz w:val="22"/>
          <w:szCs w:val="22"/>
          <w:color w:val="auto"/>
        </w:rPr>
      </w:pPr>
    </w:p>
    <w:p>
      <w:pPr>
        <w:ind w:left="2260" w:hanging="307"/>
        <w:spacing w:after="0"/>
        <w:tabs>
          <w:tab w:leader="none" w:pos="2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loans, advances and investments in Loan Parties;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hanging="120"/>
        <w:spacing w:after="0"/>
        <w:tabs>
          <w:tab w:leader="none" w:pos="56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87 -</w:t>
      </w:r>
    </w:p>
    <w:p>
      <w:pPr>
        <w:sectPr>
          <w:pgSz w:w="11900" w:h="16838" w:orient="portrait"/>
          <w:cols w:equalWidth="0" w:num="1">
            <w:col w:w="11420"/>
          </w:cols>
          <w:pgMar w:left="240" w:top="1428" w:right="239" w:bottom="1440" w:gutter="0" w:footer="0" w:header="0"/>
        </w:sectPr>
      </w:pPr>
    </w:p>
    <w:bookmarkStart w:id="101" w:name="page102"/>
    <w:bookmarkEnd w:id="101"/>
    <w:p>
      <w:pPr>
        <w:ind w:left="2320" w:hanging="367"/>
        <w:spacing w:after="0"/>
        <w:tabs>
          <w:tab w:leader="none" w:pos="23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20" w:firstLine="1953"/>
        <w:spacing w:after="0" w:line="263" w:lineRule="auto"/>
        <w:tabs>
          <w:tab w:leader="none" w:pos="239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investments not in excess of $1,000,000 at any one time in the stock of Customers in settlement of accounts receivable and related obligations which are delinquent or in default by such Customers;</w:t>
      </w:r>
    </w:p>
    <w:p>
      <w:pPr>
        <w:spacing w:after="0" w:line="174" w:lineRule="exact"/>
        <w:rPr>
          <w:rFonts w:ascii="Arial" w:cs="Arial" w:eastAsia="Arial" w:hAnsi="Arial"/>
          <w:sz w:val="22"/>
          <w:szCs w:val="22"/>
          <w:color w:val="auto"/>
        </w:rPr>
      </w:pPr>
    </w:p>
    <w:p>
      <w:pPr>
        <w:jc w:val="both"/>
        <w:ind w:firstLine="1953"/>
        <w:spacing w:after="0" w:line="302" w:lineRule="auto"/>
        <w:tabs>
          <w:tab w:leader="none" w:pos="2431"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equity investments in other corporations not in excess of ten percent (10%) of the aggregate ownership interests of any such corporation, provided that prior to and after giving effect to any such investment the aggregate amount of all such investments then existing (excluding the investments set forth on </w:t>
      </w:r>
      <w:r>
        <w:rPr>
          <w:rFonts w:ascii="Arial" w:cs="Arial" w:eastAsia="Arial" w:hAnsi="Arial"/>
          <w:sz w:val="19"/>
          <w:szCs w:val="19"/>
          <w:u w:val="single" w:color="auto"/>
          <w:color w:val="auto"/>
        </w:rPr>
        <w:t>Schedule 8.2.4</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amount of all investments in Joint Ventures permitted under Section 8.2.9(b) do not exceed $15,000,000 in the aggregate at any one time; and</w:t>
      </w:r>
    </w:p>
    <w:p>
      <w:pPr>
        <w:spacing w:after="0" w:line="142" w:lineRule="exact"/>
        <w:rPr>
          <w:rFonts w:ascii="Arial" w:cs="Arial" w:eastAsia="Arial" w:hAnsi="Arial"/>
          <w:sz w:val="19"/>
          <w:szCs w:val="19"/>
          <w:color w:val="auto"/>
        </w:rPr>
      </w:pPr>
    </w:p>
    <w:p>
      <w:pPr>
        <w:jc w:val="both"/>
        <w:ind w:firstLine="1953"/>
        <w:spacing w:after="0" w:line="265" w:lineRule="auto"/>
        <w:tabs>
          <w:tab w:leader="none" w:pos="2338"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other loans and advances (which are not otherwise permitted in this Section 8.2.4) made to Persons which are not Loan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such loans, advances and investments (after giving effect to any repayment of a loan or return of capital on investments) then existing (excluding the loans, advances and investments set forth on </w:t>
      </w:r>
      <w:r>
        <w:rPr>
          <w:rFonts w:ascii="Arial" w:cs="Arial" w:eastAsia="Arial" w:hAnsi="Arial"/>
          <w:sz w:val="21"/>
          <w:szCs w:val="21"/>
          <w:u w:val="single" w:color="auto"/>
          <w:color w:val="auto"/>
        </w:rPr>
        <w:t>Schedule 8.2.4</w:t>
      </w:r>
      <w:r>
        <w:rPr>
          <w:rFonts w:ascii="Arial" w:cs="Arial" w:eastAsia="Arial" w:hAnsi="Arial"/>
          <w:sz w:val="21"/>
          <w:szCs w:val="21"/>
          <w:color w:val="auto"/>
        </w:rPr>
        <w:t>) shall not exceed $10,000,000 in the aggregate at any one time.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the dollar limitations set forth in subsections (vii) and (viii) above shall not apply at such time as there are no Loans outstanding under this Agreement; provided that the amount of investments in excess of the dollar limitations set forth in such subsections, combined with the amounts in excess of the dollar limitations set forth in Section 8.2.5 [Dividends and Related Distributions] and Section 8.2.9 [Subsidiaries, Partnerships and Joint Ventures], shall not in the aggregate exceed $75,000,000.</w:t>
      </w:r>
    </w:p>
    <w:p>
      <w:pPr>
        <w:spacing w:after="0" w:line="19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8.2.5 </w:t>
      </w:r>
      <w:r>
        <w:rPr>
          <w:rFonts w:ascii="Arial" w:cs="Arial" w:eastAsia="Arial" w:hAnsi="Arial"/>
          <w:sz w:val="19"/>
          <w:szCs w:val="19"/>
          <w:u w:val="single" w:color="auto"/>
          <w:color w:val="auto"/>
        </w:rPr>
        <w:t>Dividends and Related Distributions</w:t>
      </w:r>
      <w:r>
        <w:rPr>
          <w:rFonts w:ascii="Arial" w:cs="Arial" w:eastAsia="Arial" w:hAnsi="Arial"/>
          <w:sz w:val="19"/>
          <w:szCs w:val="19"/>
          <w:color w:val="auto"/>
        </w:rPr>
        <w:t xml:space="preserve">. Each of the Loan Parties shall not, and shall not permit any of its Subsidiaries to, declare, pay or make any dividend or distribution on any shares of the common stock or preferred stock of any Borrower (other than dividends or distributions payable in its stock, or split-ups or reclassifications of its stock) or apply any of its funds, property or assets to the purchase, redemption or other retirement of any common or preferred stock, or of any options to purchase or acquire any such shares of common or preferred stock of any Borrower </w:t>
      </w:r>
      <w:r>
        <w:rPr>
          <w:rFonts w:ascii="Arial" w:cs="Arial" w:eastAsia="Arial" w:hAnsi="Arial"/>
          <w:sz w:val="19"/>
          <w:szCs w:val="19"/>
          <w:u w:val="single" w:color="auto"/>
          <w:color w:val="auto"/>
        </w:rPr>
        <w:t>except that</w:t>
      </w:r>
      <w:r>
        <w:rPr>
          <w:rFonts w:ascii="Arial" w:cs="Arial" w:eastAsia="Arial" w:hAnsi="Arial"/>
          <w:sz w:val="19"/>
          <w:szCs w:val="19"/>
          <w:color w:val="auto"/>
        </w:rPr>
        <w:t xml:space="preserve"> (a) the Borrowers shall be permitted to pay dividends and distributions to other Borrowers, and (b) the Company shall be permitted to pay dividends and distributions and make stock purchases or stock redemptions with respect to its stock, so long as, in each case of clause (a) and (b), prior to and after giving effect to such dividend, distribution or stock purchase or stock redemption (and treating such dividend, distribution, stock purchase or stock redemption as having occurred at the beginning of the fiscal period in which it is made): (i) no Event of Default or Potential Default shall have occurred, and (ii) the Loan Parties shall deliver to the Administrative Agent at least three (3) Business Days before such dividend and/or distribution (or such shorter timeframe as may be agreed to by the Administrative Agent in its reasonable discretion), a Compliance Certificate reflecting that the Loan Parties are in pro forma compliance with the financial covenants set forth in Section 8.2.13 [Maximum Gross Leverage Ratio], Section 8.2.14 [Minimum Consolidated Fixed Charge Coverage Ratio] and Section 8.2.15 [Minimum Working Capital to Revolving Facility Usage Ratio]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- 88 -</w:t>
      </w:r>
    </w:p>
    <w:p>
      <w:pPr>
        <w:sectPr>
          <w:pgSz w:w="11900" w:h="16838" w:orient="portrait"/>
          <w:cols w:equalWidth="0" w:num="1">
            <w:col w:w="11420"/>
          </w:cols>
          <w:pgMar w:left="240" w:top="1428" w:right="239" w:bottom="1440" w:gutter="0" w:footer="0" w:header="0"/>
        </w:sectPr>
      </w:pPr>
    </w:p>
    <w:bookmarkStart w:id="102" w:name="page103"/>
    <w:bookmarkEnd w:id="102"/>
    <w:p>
      <w:pPr>
        <w:jc w:val="both"/>
        <w:ind w:firstLine="1297"/>
        <w:spacing w:after="0" w:line="248" w:lineRule="auto"/>
        <w:rPr>
          <w:sz w:val="20"/>
          <w:szCs w:val="20"/>
          <w:color w:val="auto"/>
        </w:rPr>
      </w:pPr>
      <w:r>
        <w:rPr>
          <w:rFonts w:ascii="Arial" w:cs="Arial" w:eastAsia="Arial" w:hAnsi="Arial"/>
          <w:sz w:val="22"/>
          <w:szCs w:val="22"/>
          <w:color w:val="auto"/>
        </w:rPr>
        <w:t xml:space="preserve">8.2.6 </w:t>
      </w:r>
      <w:r>
        <w:rPr>
          <w:rFonts w:ascii="Arial" w:cs="Arial" w:eastAsia="Arial" w:hAnsi="Arial"/>
          <w:sz w:val="22"/>
          <w:szCs w:val="22"/>
          <w:u w:val="single" w:color="auto"/>
          <w:color w:val="auto"/>
        </w:rPr>
        <w:t>Liquidations, Mergers, Consolidations, and Acquisitions</w:t>
      </w:r>
      <w:r>
        <w:rPr>
          <w:rFonts w:ascii="Arial" w:cs="Arial" w:eastAsia="Arial" w:hAnsi="Arial"/>
          <w:sz w:val="22"/>
          <w:szCs w:val="22"/>
          <w:color w:val="auto"/>
        </w:rPr>
        <w:t xml:space="preserve">. Each of the Loan Parties shall not, and shall not permit any of its Subsidiaries to, dissolve, liquidate or wind-up its affairs, or become party to any merger, amalgamation, consolidation or other reorganization with or into any other Person or acquire by purchase, lease or otherwise all or substantially all of the assets, division, business, stock or other ownership interests of any Person or permit any other Person to consolidate with or merge with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92" w:lineRule="exact"/>
        <w:rPr>
          <w:sz w:val="20"/>
          <w:szCs w:val="20"/>
          <w:color w:val="auto"/>
        </w:rPr>
      </w:pPr>
    </w:p>
    <w:p>
      <w:pPr>
        <w:ind w:left="1560" w:hanging="255"/>
        <w:spacing w:after="0"/>
        <w:tabs>
          <w:tab w:leader="none" w:pos="15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so long as no Event of Default or Potential Default shall have occurred prior to or as a result of such act:</w:t>
      </w:r>
    </w:p>
    <w:p>
      <w:pPr>
        <w:spacing w:after="0" w:line="231" w:lineRule="exact"/>
        <w:rPr>
          <w:rFonts w:ascii="Arial" w:cs="Arial" w:eastAsia="Arial" w:hAnsi="Arial"/>
          <w:sz w:val="21"/>
          <w:szCs w:val="21"/>
          <w:color w:val="auto"/>
        </w:rPr>
      </w:pPr>
    </w:p>
    <w:p>
      <w:pPr>
        <w:jc w:val="both"/>
        <w:ind w:firstLine="2763"/>
        <w:spacing w:after="0" w:line="253" w:lineRule="auto"/>
        <w:tabs>
          <w:tab w:leader="none" w:pos="3049" w:val="left"/>
        </w:tabs>
        <w:numPr>
          <w:ilvl w:val="1"/>
          <w:numId w:val="78"/>
        </w:numPr>
        <w:rPr>
          <w:rFonts w:ascii="Arial" w:cs="Arial" w:eastAsia="Arial" w:hAnsi="Arial"/>
          <w:sz w:val="22"/>
          <w:szCs w:val="22"/>
          <w:color w:val="auto"/>
        </w:rPr>
      </w:pPr>
      <w:r>
        <w:rPr>
          <w:rFonts w:ascii="Arial" w:cs="Arial" w:eastAsia="Arial" w:hAnsi="Arial"/>
          <w:sz w:val="22"/>
          <w:szCs w:val="22"/>
          <w:color w:val="auto"/>
        </w:rPr>
        <w:t>in the case of a merger, amalgamation, or consolidation involving a Loan Party, such Loan Party shall be the continuing and surviving entity; provided further, if such Loan Party is a Borrower, such Borrower shall be the continuing and surviving entity; and</w:t>
      </w:r>
    </w:p>
    <w:p>
      <w:pPr>
        <w:spacing w:after="0" w:line="185" w:lineRule="exact"/>
        <w:rPr>
          <w:rFonts w:ascii="Arial" w:cs="Arial" w:eastAsia="Arial" w:hAnsi="Arial"/>
          <w:sz w:val="22"/>
          <w:szCs w:val="22"/>
          <w:color w:val="auto"/>
        </w:rPr>
      </w:pPr>
    </w:p>
    <w:p>
      <w:pPr>
        <w:jc w:val="both"/>
        <w:ind w:firstLine="2763"/>
        <w:spacing w:after="0" w:line="253" w:lineRule="auto"/>
        <w:tabs>
          <w:tab w:leader="none" w:pos="3115"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Excluded Subsidiary may liquidate or dissolve if the Loan Party which owns such Excluded Subsidiary determines in good faith that such liquidation or dissolution is in the best interest of such Loan Party and is not materially disadvantageous to the Lenders;</w:t>
      </w:r>
    </w:p>
    <w:p>
      <w:pPr>
        <w:spacing w:after="0" w:line="186" w:lineRule="exact"/>
        <w:rPr>
          <w:sz w:val="20"/>
          <w:szCs w:val="20"/>
          <w:color w:val="auto"/>
        </w:rPr>
      </w:pPr>
    </w:p>
    <w:p>
      <w:pPr>
        <w:jc w:val="both"/>
        <w:ind w:firstLine="1305"/>
        <w:spacing w:after="0" w:line="253" w:lineRule="auto"/>
        <w:tabs>
          <w:tab w:leader="none" w:pos="16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Loan Party or any Subsidiary of any Loan Party may consolidate with, merge, amalgamate into, or acquire assets or Equity Interests (or any combination of the foregoing transactions) of another Person which is principally engaged in a business permitted hereunder (a "</w:t>
      </w:r>
      <w:r>
        <w:rPr>
          <w:rFonts w:ascii="Arial" w:cs="Arial" w:eastAsia="Arial" w:hAnsi="Arial"/>
          <w:sz w:val="22"/>
          <w:szCs w:val="22"/>
          <w:b w:val="1"/>
          <w:bCs w:val="1"/>
          <w:color w:val="auto"/>
        </w:rPr>
        <w:t>Target</w:t>
      </w:r>
      <w:r>
        <w:rPr>
          <w:rFonts w:ascii="Arial" w:cs="Arial" w:eastAsia="Arial" w:hAnsi="Arial"/>
          <w:sz w:val="22"/>
          <w:szCs w:val="22"/>
          <w:color w:val="auto"/>
        </w:rPr>
        <w:t>") (each, a "</w:t>
      </w:r>
      <w:r>
        <w:rPr>
          <w:rFonts w:ascii="Arial" w:cs="Arial" w:eastAsia="Arial" w:hAnsi="Arial"/>
          <w:sz w:val="22"/>
          <w:szCs w:val="22"/>
          <w:b w:val="1"/>
          <w:bCs w:val="1"/>
          <w:color w:val="auto"/>
        </w:rPr>
        <w:t>Permitted Acquisition</w:t>
      </w:r>
      <w:r>
        <w:rPr>
          <w:rFonts w:ascii="Arial" w:cs="Arial" w:eastAsia="Arial" w:hAnsi="Arial"/>
          <w:sz w:val="22"/>
          <w:szCs w:val="22"/>
          <w:color w:val="auto"/>
        </w:rPr>
        <w:t>"), so long as:</w:t>
      </w:r>
    </w:p>
    <w:p>
      <w:pPr>
        <w:spacing w:after="0" w:line="185" w:lineRule="exact"/>
        <w:rPr>
          <w:rFonts w:ascii="Arial" w:cs="Arial" w:eastAsia="Arial" w:hAnsi="Arial"/>
          <w:sz w:val="22"/>
          <w:szCs w:val="22"/>
          <w:color w:val="auto"/>
        </w:rPr>
      </w:pPr>
    </w:p>
    <w:p>
      <w:pPr>
        <w:ind w:left="2320" w:hanging="286"/>
        <w:spacing w:after="0"/>
        <w:tabs>
          <w:tab w:leader="none" w:pos="2320" w:val="left"/>
        </w:tabs>
        <w:numPr>
          <w:ilvl w:val="1"/>
          <w:numId w:val="79"/>
        </w:numPr>
        <w:rPr>
          <w:rFonts w:ascii="Arial" w:cs="Arial" w:eastAsia="Arial" w:hAnsi="Arial"/>
          <w:sz w:val="22"/>
          <w:szCs w:val="22"/>
          <w:color w:val="auto"/>
        </w:rPr>
      </w:pPr>
      <w:r>
        <w:rPr>
          <w:rFonts w:ascii="Arial" w:cs="Arial" w:eastAsia="Arial" w:hAnsi="Arial"/>
          <w:sz w:val="22"/>
          <w:szCs w:val="22"/>
          <w:color w:val="auto"/>
        </w:rPr>
        <w:t>no Event of Default or Potential Default exists or would result therefrom;</w:t>
      </w:r>
    </w:p>
    <w:p>
      <w:pPr>
        <w:spacing w:after="0" w:line="219" w:lineRule="exact"/>
        <w:rPr>
          <w:rFonts w:ascii="Arial" w:cs="Arial" w:eastAsia="Arial" w:hAnsi="Arial"/>
          <w:sz w:val="22"/>
          <w:szCs w:val="22"/>
          <w:color w:val="auto"/>
        </w:rPr>
      </w:pPr>
    </w:p>
    <w:p>
      <w:pPr>
        <w:jc w:val="both"/>
        <w:ind w:left="80" w:right="20" w:firstLine="1954"/>
        <w:spacing w:after="0" w:line="271" w:lineRule="auto"/>
        <w:tabs>
          <w:tab w:leader="none" w:pos="2371"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board of directors or other equivalent governing body of the Target shall have approved such Permitted Acquisition and the Loan Parties also shall have delivered to the Administrative Agent and the Lenders written evidence of the approval of the board of directors (or equivalent body) of the Target for such Permitted Acquisition;</w:t>
      </w:r>
    </w:p>
    <w:p>
      <w:pPr>
        <w:spacing w:after="0" w:line="167" w:lineRule="exact"/>
        <w:rPr>
          <w:rFonts w:ascii="Arial" w:cs="Arial" w:eastAsia="Arial" w:hAnsi="Arial"/>
          <w:sz w:val="21"/>
          <w:szCs w:val="21"/>
          <w:color w:val="auto"/>
        </w:rPr>
      </w:pPr>
    </w:p>
    <w:p>
      <w:pPr>
        <w:jc w:val="both"/>
        <w:ind w:left="80" w:firstLine="1954"/>
        <w:spacing w:after="0" w:line="253" w:lineRule="auto"/>
        <w:tabs>
          <w:tab w:leader="none" w:pos="2346" w:val="left"/>
        </w:tabs>
        <w:numPr>
          <w:ilvl w:val="1"/>
          <w:numId w:val="79"/>
        </w:numPr>
        <w:rPr>
          <w:rFonts w:ascii="Arial" w:cs="Arial" w:eastAsia="Arial" w:hAnsi="Arial"/>
          <w:sz w:val="22"/>
          <w:szCs w:val="22"/>
          <w:color w:val="auto"/>
        </w:rPr>
      </w:pPr>
      <w:r>
        <w:rPr>
          <w:rFonts w:ascii="Arial" w:cs="Arial" w:eastAsia="Arial" w:hAnsi="Arial"/>
          <w:sz w:val="22"/>
          <w:szCs w:val="22"/>
          <w:color w:val="auto"/>
        </w:rPr>
        <w:t>if applicable, each applicable Official Body shall have approved such Permitted Acquisition and the Loan Parties shall have delivered to the Administrative Agent and the Lenders written evidence of the approval of such Official Body or such Permitted Acquisition;</w:t>
      </w:r>
    </w:p>
    <w:p>
      <w:pPr>
        <w:spacing w:after="0" w:line="185" w:lineRule="exact"/>
        <w:rPr>
          <w:rFonts w:ascii="Arial" w:cs="Arial" w:eastAsia="Arial" w:hAnsi="Arial"/>
          <w:sz w:val="22"/>
          <w:szCs w:val="22"/>
          <w:color w:val="auto"/>
        </w:rPr>
      </w:pPr>
    </w:p>
    <w:p>
      <w:pPr>
        <w:jc w:val="both"/>
        <w:ind w:left="80" w:firstLine="1954"/>
        <w:spacing w:after="0" w:line="265" w:lineRule="auto"/>
        <w:tabs>
          <w:tab w:leader="none" w:pos="2385" w:val="left"/>
        </w:tabs>
        <w:numPr>
          <w:ilvl w:val="1"/>
          <w:numId w:val="79"/>
        </w:numPr>
        <w:rPr>
          <w:rFonts w:ascii="Arial" w:cs="Arial" w:eastAsia="Arial" w:hAnsi="Arial"/>
          <w:sz w:val="21"/>
          <w:szCs w:val="21"/>
          <w:color w:val="auto"/>
        </w:rPr>
      </w:pPr>
      <w:r>
        <w:rPr>
          <w:rFonts w:ascii="Arial" w:cs="Arial" w:eastAsia="Arial" w:hAnsi="Arial"/>
          <w:sz w:val="21"/>
          <w:szCs w:val="21"/>
          <w:color w:val="auto"/>
        </w:rPr>
        <w:t>prior to and after giving effect to the Permitted Acquisition, the Loan Parties are in pro forma compliance with the financial covenants set forth in Section 8.2.13 [Maximum Gross Leverage Ratio], Section 8.2.14 [Minimum Consolidated Fixed Charge Coverage Ratio] and Section 8.2.15 [Minimum Working Capital to Revolving Facility Usage Ratio] of this Agreement, in each case calculated for the four (4) consecutive fiscal quarters most recently ended;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72" w:lineRule="exact"/>
        <w:rPr>
          <w:rFonts w:ascii="Arial" w:cs="Arial" w:eastAsia="Arial" w:hAnsi="Arial"/>
          <w:sz w:val="21"/>
          <w:szCs w:val="21"/>
          <w:color w:val="auto"/>
        </w:rPr>
      </w:pPr>
    </w:p>
    <w:p>
      <w:pPr>
        <w:ind w:left="5600" w:hanging="120"/>
        <w:spacing w:after="0"/>
        <w:tabs>
          <w:tab w:leader="none" w:pos="5600" w:val="left"/>
        </w:tabs>
        <w:numPr>
          <w:ilvl w:val="2"/>
          <w:numId w:val="79"/>
        </w:numPr>
        <w:rPr>
          <w:rFonts w:ascii="Arial" w:cs="Arial" w:eastAsia="Arial" w:hAnsi="Arial"/>
          <w:sz w:val="22"/>
          <w:szCs w:val="22"/>
          <w:color w:val="auto"/>
        </w:rPr>
      </w:pPr>
      <w:r>
        <w:rPr>
          <w:rFonts w:ascii="Arial" w:cs="Arial" w:eastAsia="Arial" w:hAnsi="Arial"/>
          <w:sz w:val="22"/>
          <w:szCs w:val="22"/>
          <w:color w:val="auto"/>
        </w:rPr>
        <w:t>89 -</w:t>
      </w:r>
    </w:p>
    <w:p>
      <w:pPr>
        <w:sectPr>
          <w:pgSz w:w="11900" w:h="16838" w:orient="portrait"/>
          <w:cols w:equalWidth="0" w:num="1">
            <w:col w:w="11420"/>
          </w:cols>
          <w:pgMar w:left="240" w:top="1428" w:right="239" w:bottom="1440" w:gutter="0" w:footer="0" w:header="0"/>
        </w:sectPr>
      </w:pPr>
    </w:p>
    <w:bookmarkStart w:id="103" w:name="page104"/>
    <w:bookmarkEnd w:id="103"/>
    <w:p>
      <w:pPr>
        <w:ind w:left="2320" w:hanging="286"/>
        <w:spacing w:after="0"/>
        <w:tabs>
          <w:tab w:leader="none" w:pos="23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prior to and after giving effect to such Permitted Acquisition, the Liquidity of the Loan Parties shall not</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be less than $25,000,000;</w:t>
      </w:r>
    </w:p>
    <w:p>
      <w:pPr>
        <w:spacing w:after="0" w:line="201" w:lineRule="exact"/>
        <w:rPr>
          <w:rFonts w:ascii="Arial" w:cs="Arial" w:eastAsia="Arial" w:hAnsi="Arial"/>
          <w:sz w:val="19"/>
          <w:szCs w:val="19"/>
          <w:color w:val="auto"/>
        </w:rPr>
      </w:pPr>
    </w:p>
    <w:p>
      <w:pPr>
        <w:jc w:val="both"/>
        <w:ind w:left="80" w:firstLine="1954"/>
        <w:spacing w:after="0" w:line="250" w:lineRule="auto"/>
        <w:tabs>
          <w:tab w:leader="none" w:pos="2308"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aggregate consideration for any Permitted Acquisition shall not exceed $50,000,000 per acquisition (or $50,000,000 in the aggregate for multiple acquisitions entered into during the four (4) consecutive fiscal quarter-period most recently ended); provided however, that the aggregate consideration for all Permitted Acquisitions during term of this Agreement shall not exceed $100,000,000.</w:t>
      </w:r>
    </w:p>
    <w:p>
      <w:pPr>
        <w:spacing w:after="0" w:line="188" w:lineRule="exact"/>
        <w:rPr>
          <w:rFonts w:ascii="Arial" w:cs="Arial" w:eastAsia="Arial" w:hAnsi="Arial"/>
          <w:sz w:val="22"/>
          <w:szCs w:val="22"/>
          <w:color w:val="auto"/>
        </w:rPr>
      </w:pPr>
    </w:p>
    <w:p>
      <w:pPr>
        <w:jc w:val="both"/>
        <w:ind w:left="80" w:firstLine="1954"/>
        <w:spacing w:after="0" w:line="292" w:lineRule="auto"/>
        <w:tabs>
          <w:tab w:leader="none" w:pos="2344"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Loan Parties shall deliver to the Administrative Agent at least five (5) Business Days before such Permitted Acquisition (or such shorter timeframe as may be agreed to by the Administrative Agent in its reasonable discretion, but in no event less than two (2) Business Days prior to such Permitted Acquisition), copies of (1) any agreements entered into or proposed to be entered into by such Loan Parties in connection with such Permitted Acquisition, (2) such other information about such Person or its assets as the Administrative Agent or any Lender may reasonably require, including but not limited to, historical financial statements of such Person reasonably satisfactory to the Administrative Agent, and (3) an Acquisition Compliance Certificate reflecting compliance with clauses (ii)(d), (ii)(e) and (ii)(f) set forth above; and</w:t>
      </w:r>
    </w:p>
    <w:p>
      <w:pPr>
        <w:spacing w:after="0" w:line="151" w:lineRule="exact"/>
        <w:rPr>
          <w:rFonts w:ascii="Arial" w:cs="Arial" w:eastAsia="Arial" w:hAnsi="Arial"/>
          <w:sz w:val="19"/>
          <w:szCs w:val="19"/>
          <w:color w:val="auto"/>
        </w:rPr>
      </w:pPr>
    </w:p>
    <w:p>
      <w:pPr>
        <w:jc w:val="both"/>
        <w:ind w:left="80" w:firstLine="1954"/>
        <w:spacing w:after="0" w:line="253" w:lineRule="auto"/>
        <w:tabs>
          <w:tab w:leader="none" w:pos="23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each case in which the Target becomes a new Subsidiary that qualifies as a Material Subsidiary, the Loan Parties shall immediately cause such new Material Subsidiary to join this Agreement as a Loan Party pursuant to Section 12.15 [Joinder].</w:t>
      </w:r>
    </w:p>
    <w:p>
      <w:pPr>
        <w:spacing w:after="0" w:line="18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8.2.7 </w:t>
      </w:r>
      <w:r>
        <w:rPr>
          <w:rFonts w:ascii="Arial" w:cs="Arial" w:eastAsia="Arial" w:hAnsi="Arial"/>
          <w:sz w:val="19"/>
          <w:szCs w:val="19"/>
          <w:u w:val="single" w:color="auto"/>
          <w:color w:val="auto"/>
        </w:rPr>
        <w:t>Dispositions of Assets or Subsidiaries</w:t>
      </w:r>
      <w:r>
        <w:rPr>
          <w:rFonts w:ascii="Arial" w:cs="Arial" w:eastAsia="Arial" w:hAnsi="Arial"/>
          <w:sz w:val="19"/>
          <w:szCs w:val="19"/>
          <w:color w:val="auto"/>
        </w:rPr>
        <w:t>. Each of the Loan Parties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or of capital stock, shares of beneficial interest, partnership interests or limited liability company interests or any other Equity Interest of a Subsidiary of such Loan Party), except:</w:t>
      </w:r>
    </w:p>
    <w:p>
      <w:pPr>
        <w:spacing w:after="0" w:line="147" w:lineRule="exact"/>
        <w:rPr>
          <w:sz w:val="20"/>
          <w:szCs w:val="20"/>
          <w:color w:val="auto"/>
        </w:rPr>
      </w:pPr>
    </w:p>
    <w:p>
      <w:pPr>
        <w:ind w:left="2220" w:hanging="267"/>
        <w:spacing w:after="0"/>
        <w:tabs>
          <w:tab w:leader="none" w:pos="22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transactions involving the sale or lease of inventory in the ordinary course of business;</w:t>
      </w:r>
    </w:p>
    <w:p>
      <w:pPr>
        <w:spacing w:after="0" w:line="219" w:lineRule="exact"/>
        <w:rPr>
          <w:rFonts w:ascii="Arial" w:cs="Arial" w:eastAsia="Arial" w:hAnsi="Arial"/>
          <w:sz w:val="22"/>
          <w:szCs w:val="22"/>
          <w:color w:val="auto"/>
        </w:rPr>
      </w:pPr>
    </w:p>
    <w:p>
      <w:pPr>
        <w:ind w:firstLine="1953"/>
        <w:spacing w:after="0" w:line="263" w:lineRule="auto"/>
        <w:tabs>
          <w:tab w:leader="none" w:pos="227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sale, transfer or lease of assets in the ordinary course of business which are no longer necessary or required or useful in the conduct of such Loan Party's or such Subsidiary's business;</w:t>
      </w:r>
    </w:p>
    <w:p>
      <w:pPr>
        <w:spacing w:after="0" w:line="174" w:lineRule="exact"/>
        <w:rPr>
          <w:rFonts w:ascii="Arial" w:cs="Arial" w:eastAsia="Arial" w:hAnsi="Arial"/>
          <w:sz w:val="22"/>
          <w:szCs w:val="22"/>
          <w:color w:val="auto"/>
        </w:rPr>
      </w:pPr>
    </w:p>
    <w:p>
      <w:pPr>
        <w:ind w:left="2340" w:hanging="387"/>
        <w:spacing w:after="0"/>
        <w:tabs>
          <w:tab w:leader="none" w:pos="23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sale, transfer or lease of assets by any wholly owned Subsidiary of such Loan Party to another Loan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Party;</w:t>
      </w:r>
    </w:p>
    <w:p>
      <w:pPr>
        <w:spacing w:after="0" w:line="201" w:lineRule="exact"/>
        <w:rPr>
          <w:rFonts w:ascii="Arial" w:cs="Arial" w:eastAsia="Arial" w:hAnsi="Arial"/>
          <w:sz w:val="19"/>
          <w:szCs w:val="19"/>
          <w:color w:val="auto"/>
        </w:rPr>
      </w:pPr>
    </w:p>
    <w:p>
      <w:pPr>
        <w:jc w:val="both"/>
        <w:ind w:firstLine="1953"/>
        <w:spacing w:after="0" w:line="250" w:lineRule="auto"/>
        <w:tabs>
          <w:tab w:leader="none" w:pos="23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subject to the mandatory prepayment requirement set forth in Section 5.7.6(i), any sale, transfer, lease or other disposition of ownership interest or assets so long as the fair market value of such sales, transfers, leases and/or other dispositions does not exceed $25,000,000 in the aggregate for the period commencing on the Closing Date through the Expiration Date;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5" w:lineRule="exact"/>
        <w:rPr>
          <w:rFonts w:ascii="Arial" w:cs="Arial" w:eastAsia="Arial" w:hAnsi="Arial"/>
          <w:sz w:val="22"/>
          <w:szCs w:val="22"/>
          <w:color w:val="auto"/>
        </w:rPr>
      </w:pPr>
    </w:p>
    <w:p>
      <w:pPr>
        <w:ind w:left="5600" w:hanging="120"/>
        <w:spacing w:after="0"/>
        <w:tabs>
          <w:tab w:leader="none" w:pos="56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90 -</w:t>
      </w:r>
    </w:p>
    <w:p>
      <w:pPr>
        <w:sectPr>
          <w:pgSz w:w="11900" w:h="16838" w:orient="portrait"/>
          <w:cols w:equalWidth="0" w:num="1">
            <w:col w:w="11420"/>
          </w:cols>
          <w:pgMar w:left="240" w:top="1428" w:right="239" w:bottom="1440" w:gutter="0" w:footer="0" w:header="0"/>
        </w:sectPr>
      </w:pPr>
    </w:p>
    <w:bookmarkStart w:id="104" w:name="page105"/>
    <w:bookmarkEnd w:id="104"/>
    <w:p>
      <w:pPr>
        <w:ind w:left="2320" w:hanging="367"/>
        <w:spacing w:after="0"/>
        <w:tabs>
          <w:tab w:leader="none" w:pos="23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46" w:lineRule="exact"/>
        <w:rPr>
          <w:rFonts w:ascii="Arial" w:cs="Arial" w:eastAsia="Arial" w:hAnsi="Arial"/>
          <w:sz w:val="22"/>
          <w:szCs w:val="22"/>
          <w:color w:val="auto"/>
        </w:rPr>
      </w:pPr>
    </w:p>
    <w:p>
      <w:pPr>
        <w:jc w:val="both"/>
        <w:ind w:firstLine="1953"/>
        <w:spacing w:after="0" w:line="253" w:lineRule="auto"/>
        <w:tabs>
          <w:tab w:leader="none" w:pos="2311"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subject to the mandatory prepayment requirement set forth in Section 5.7.6(i), any sale, transfer or lease of assets, other than those specifically excepted pursuant to clauses (i) through (iv) above, which is approved by the Required Lenders.</w:t>
      </w:r>
    </w:p>
    <w:p>
      <w:pPr>
        <w:spacing w:after="0" w:line="213"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8.2.8 </w:t>
      </w:r>
      <w:r>
        <w:rPr>
          <w:rFonts w:ascii="Arial" w:cs="Arial" w:eastAsia="Arial" w:hAnsi="Arial"/>
          <w:sz w:val="21"/>
          <w:szCs w:val="21"/>
          <w:u w:val="single" w:color="auto"/>
          <w:color w:val="auto"/>
        </w:rPr>
        <w:t>Affiliate Transactions</w:t>
      </w:r>
      <w:r>
        <w:rPr>
          <w:rFonts w:ascii="Arial" w:cs="Arial" w:eastAsia="Arial" w:hAnsi="Arial"/>
          <w:sz w:val="21"/>
          <w:szCs w:val="21"/>
          <w:color w:val="auto"/>
        </w:rPr>
        <w:t>. Each of the Loan Parties shall not, and shall not permit any of its Subsidiaries to, directly or indirectly, purchase, acquire or lease any property from, or sell, transfer or lease any property to, or otherwise deal with, any Affiliate (other than a Borrower), except transactions in the ordinary course of business, on an arm's-length basis on terms no less favorable than terms which would have been obtainable from a Person other than an Affiliate.</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8.2.9 </w:t>
      </w:r>
      <w:r>
        <w:rPr>
          <w:rFonts w:ascii="Arial" w:cs="Arial" w:eastAsia="Arial" w:hAnsi="Arial"/>
          <w:sz w:val="22"/>
          <w:szCs w:val="22"/>
          <w:u w:val="single" w:color="auto"/>
          <w:color w:val="auto"/>
        </w:rPr>
        <w:t>Subsidiaries, Partnerships and Joint Ventures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8.2.9</w:t>
      </w:r>
      <w:r>
        <w:rPr>
          <w:rFonts w:ascii="Arial" w:cs="Arial" w:eastAsia="Arial" w:hAnsi="Arial"/>
          <w:sz w:val="22"/>
          <w:szCs w:val="22"/>
          <w:color w:val="auto"/>
        </w:rPr>
        <w:t>, each of the Loan Parties shall not, and shall not permit any of its Subsidiaries to:</w:t>
      </w:r>
    </w:p>
    <w:p>
      <w:pPr>
        <w:spacing w:after="0" w:line="175" w:lineRule="exact"/>
        <w:rPr>
          <w:sz w:val="20"/>
          <w:szCs w:val="20"/>
          <w:color w:val="auto"/>
        </w:rPr>
      </w:pPr>
    </w:p>
    <w:p>
      <w:pPr>
        <w:jc w:val="both"/>
        <w:ind w:firstLine="2601"/>
        <w:spacing w:after="0" w:line="253" w:lineRule="auto"/>
        <w:tabs>
          <w:tab w:leader="none" w:pos="2927" w:val="left"/>
        </w:tabs>
        <w:numPr>
          <w:ilvl w:val="0"/>
          <w:numId w:val="83"/>
        </w:numPr>
        <w:rPr>
          <w:rFonts w:ascii="Arial" w:cs="Arial" w:eastAsia="Arial" w:hAnsi="Arial"/>
          <w:sz w:val="22"/>
          <w:szCs w:val="22"/>
          <w:color w:val="auto"/>
        </w:rPr>
      </w:pPr>
      <w:r>
        <w:rPr>
          <w:rFonts w:ascii="Arial" w:cs="Arial" w:eastAsia="Arial" w:hAnsi="Arial"/>
          <w:sz w:val="22"/>
          <w:szCs w:val="22"/>
          <w:color w:val="auto"/>
        </w:rPr>
        <w:t>own or create directly or indirectly any Subsidiaries unless such Subsidiary takes all action required under Section 12.15 [Joinder of Borrowers and Guarantors] hereof, if any, to join this Agreement as a Borrower or Guarantor; and</w:t>
      </w:r>
    </w:p>
    <w:p>
      <w:pPr>
        <w:spacing w:after="0" w:line="185" w:lineRule="exact"/>
        <w:rPr>
          <w:rFonts w:ascii="Arial" w:cs="Arial" w:eastAsia="Arial" w:hAnsi="Arial"/>
          <w:sz w:val="22"/>
          <w:szCs w:val="22"/>
          <w:color w:val="auto"/>
        </w:rPr>
      </w:pPr>
    </w:p>
    <w:p>
      <w:pPr>
        <w:jc w:val="both"/>
        <w:ind w:firstLine="2601"/>
        <w:spacing w:after="0" w:line="250" w:lineRule="auto"/>
        <w:tabs>
          <w:tab w:leader="none" w:pos="2899"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enter into any Joint Venture or similar arrangement;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Loan Parties may enter into a Joint Venture so long as the amount of loans, investments or contributions made by the Loan Parties therein (excluding loans, investments or contributions set forth on </w:t>
      </w:r>
      <w:r>
        <w:rPr>
          <w:rFonts w:ascii="Arial" w:cs="Arial" w:eastAsia="Arial" w:hAnsi="Arial"/>
          <w:sz w:val="22"/>
          <w:szCs w:val="22"/>
          <w:u w:val="single" w:color="auto"/>
          <w:color w:val="auto"/>
        </w:rPr>
        <w:t>Schedule 8.2.9</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amount of all equity investments permitted under Section 8.2.4(viii) do not exceed $10,000,000 in the aggregate at any one time.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Notwithstanding the foregoing, the dollar limitation set forth in subsections 8.2.9(b) above shall not apply at such time as there are no Loans outstanding under this Agreement, provided that the amounts loaned, invested or contributed by the Loan Parties in excess of such dollar limitation, combined with the amounts in excess of the dollar limitations set forth in Section 8.2.4 [Loans and Investments] and Section 8.2.5 [Dividends and Related Distributions], shall not in the aggregate exceed $75,000,000.</w:t>
      </w:r>
    </w:p>
    <w:p>
      <w:pPr>
        <w:spacing w:after="0" w:line="14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8.2.10 </w:t>
      </w:r>
      <w:r>
        <w:rPr>
          <w:rFonts w:ascii="Arial" w:cs="Arial" w:eastAsia="Arial" w:hAnsi="Arial"/>
          <w:sz w:val="19"/>
          <w:szCs w:val="19"/>
          <w:u w:val="single" w:color="auto"/>
          <w:color w:val="auto"/>
        </w:rPr>
        <w:t>Continuation of or Change in Business</w:t>
      </w:r>
      <w:r>
        <w:rPr>
          <w:rFonts w:ascii="Arial" w:cs="Arial" w:eastAsia="Arial" w:hAnsi="Arial"/>
          <w:sz w:val="19"/>
          <w:szCs w:val="19"/>
          <w:color w:val="auto"/>
        </w:rPr>
        <w:t>. Each of the Loan Parties shall not, and shall not permit any of its Subsidiaries to, substantially change the nature of the business in which it is presently engaged (or businesses reasonably related thereto), nor except as specifically permitted hereby (including Section 8.2.6 [Liquidations, Mergers, Consolidations, and Acquisitions]) purchase or invest, directly or indirectly, in any assets or property other than in the ordinary course of business or assets or property which are to be used in its business as presently conducted or businesses reasonably related thereto.</w:t>
      </w:r>
    </w:p>
    <w:p>
      <w:pPr>
        <w:spacing w:after="0" w:line="14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 xml:space="preserve">8.2.11 </w:t>
      </w:r>
      <w:r>
        <w:rPr>
          <w:rFonts w:ascii="Arial" w:cs="Arial" w:eastAsia="Arial" w:hAnsi="Arial"/>
          <w:sz w:val="21"/>
          <w:szCs w:val="21"/>
          <w:u w:val="single" w:color="auto"/>
          <w:color w:val="auto"/>
        </w:rPr>
        <w:t>Fiscal Year</w:t>
      </w:r>
      <w:r>
        <w:rPr>
          <w:rFonts w:ascii="Arial" w:cs="Arial" w:eastAsia="Arial" w:hAnsi="Arial"/>
          <w:sz w:val="21"/>
          <w:szCs w:val="21"/>
          <w:color w:val="auto"/>
        </w:rPr>
        <w:t>. Each of the Borrowers shall not, and shall not permit any Subsidiary of such Borrower to, change its fiscal year from calendar year or make any significant change (a) in accounting treatment and reporting practices except as required or permitted by GAAP or (b) in tax reporting treatment except as required by law.</w:t>
      </w:r>
    </w:p>
    <w:p>
      <w:pPr>
        <w:spacing w:after="0" w:line="1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8.2.12 </w:t>
      </w:r>
      <w:r>
        <w:rPr>
          <w:rFonts w:ascii="Arial" w:cs="Arial" w:eastAsia="Arial" w:hAnsi="Arial"/>
          <w:sz w:val="22"/>
          <w:szCs w:val="22"/>
          <w:u w:val="single" w:color="auto"/>
          <w:color w:val="auto"/>
        </w:rPr>
        <w:t>Changes in Organizational Documents</w:t>
      </w:r>
      <w:r>
        <w:rPr>
          <w:rFonts w:ascii="Arial" w:cs="Arial" w:eastAsia="Arial" w:hAnsi="Arial"/>
          <w:sz w:val="22"/>
          <w:szCs w:val="22"/>
          <w:color w:val="auto"/>
        </w:rPr>
        <w:t>. Each of the Loan Parties shall not amend in any respect its certificate of incorporation (including any provisions or resolutions relating to capital stock), by-laws, certificate of limited partnership,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- 91 -</w:t>
      </w:r>
    </w:p>
    <w:p>
      <w:pPr>
        <w:sectPr>
          <w:pgSz w:w="11900" w:h="16838" w:orient="portrait"/>
          <w:cols w:equalWidth="0" w:num="1">
            <w:col w:w="11420"/>
          </w:cols>
          <w:pgMar w:left="240" w:top="1428" w:right="239" w:bottom="1440" w:gutter="0" w:footer="0" w:header="0"/>
        </w:sectPr>
      </w:pPr>
    </w:p>
    <w:bookmarkStart w:id="105" w:name="page106"/>
    <w:bookmarkEnd w:id="105"/>
    <w:p>
      <w:pPr>
        <w:jc w:val="both"/>
        <w:spacing w:after="0" w:line="250" w:lineRule="auto"/>
        <w:rPr>
          <w:sz w:val="20"/>
          <w:szCs w:val="20"/>
          <w:color w:val="auto"/>
        </w:rPr>
      </w:pPr>
      <w:r>
        <w:rPr>
          <w:rFonts w:ascii="Arial" w:cs="Arial" w:eastAsia="Arial" w:hAnsi="Arial"/>
          <w:sz w:val="22"/>
          <w:szCs w:val="22"/>
          <w:color w:val="auto"/>
        </w:rPr>
        <w:t>certificate of formation, limited liability company agreement or other organizational documents without providing at least ten (10) calendar days' prior written notice to the Administrative Agent and the Lenders and, in the event such change would be adverse to the Lenders as determined by the Administrative Agent in its sole discretion, obtaining the prior written consent of the Required Lenders.</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8.2.13 </w:t>
      </w:r>
      <w:r>
        <w:rPr>
          <w:rFonts w:ascii="Arial" w:cs="Arial" w:eastAsia="Arial" w:hAnsi="Arial"/>
          <w:sz w:val="22"/>
          <w:szCs w:val="22"/>
          <w:u w:val="single" w:color="auto"/>
          <w:color w:val="auto"/>
        </w:rPr>
        <w:t>Maximum Gross Leverage Ratio</w:t>
      </w:r>
      <w:r>
        <w:rPr>
          <w:rFonts w:ascii="Arial" w:cs="Arial" w:eastAsia="Arial" w:hAnsi="Arial"/>
          <w:sz w:val="22"/>
          <w:szCs w:val="22"/>
          <w:color w:val="auto"/>
        </w:rPr>
        <w:t>. The Loan Parties shall not permit the Gross Leverage Ratio of the Company and its Subsidiaries, calculated at the end of each fiscal quarter, in each case for the four (4) consecutive fiscal quarters then ending, to exceed (i) 3.25 to 1.00 for all testing periods other than during an Acquisition Period, and (ii) 3.50 to 1.00 for all testing periods occurring during an Acquisition Period.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8.2.14 </w:t>
      </w:r>
      <w:r>
        <w:rPr>
          <w:rFonts w:ascii="Arial" w:cs="Arial" w:eastAsia="Arial" w:hAnsi="Arial"/>
          <w:sz w:val="22"/>
          <w:szCs w:val="22"/>
          <w:u w:val="single" w:color="auto"/>
          <w:color w:val="auto"/>
        </w:rPr>
        <w:t>Minimum Consolidated Fixed Charge Coverage Ratio.</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Loan Parties shall not permit the Consolidated Fixed Charge Coverage Ratio of the Company and its Subsidiaries, calculated at the end of each fiscal quarter, in each case for the four (4) consecutive fiscal quarters then ending, to be less than 1.25 to 1.00.</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8.2.15 </w:t>
      </w:r>
      <w:r>
        <w:rPr>
          <w:rFonts w:ascii="Arial" w:cs="Arial" w:eastAsia="Arial" w:hAnsi="Arial"/>
          <w:sz w:val="22"/>
          <w:szCs w:val="22"/>
          <w:u w:val="single" w:color="auto"/>
          <w:color w:val="auto"/>
        </w:rPr>
        <w:t>Minimum Working Capital to Revolving Facility Usage Ratio</w:t>
      </w:r>
      <w:r>
        <w:rPr>
          <w:rFonts w:ascii="Arial" w:cs="Arial" w:eastAsia="Arial" w:hAnsi="Arial"/>
          <w:sz w:val="22"/>
          <w:szCs w:val="22"/>
          <w:color w:val="auto"/>
        </w:rPr>
        <w:t>. The Loan Parties shall not permit the Working Capital to Revolving Facility Usage Ratio of the Company and its Subsidiaries, calculated at the end of each fiscal quarter, in each case for the four (4) consecutive fiscal quarters then ending, to be less than 1.40 to 1.00.</w:t>
      </w:r>
    </w:p>
    <w:p>
      <w:pPr>
        <w:spacing w:after="0" w:line="186" w:lineRule="exact"/>
        <w:rPr>
          <w:sz w:val="20"/>
          <w:szCs w:val="20"/>
          <w:color w:val="auto"/>
        </w:rPr>
      </w:pPr>
    </w:p>
    <w:p>
      <w:pPr>
        <w:ind w:firstLine="1297"/>
        <w:spacing w:after="0" w:line="302" w:lineRule="auto"/>
        <w:rPr>
          <w:sz w:val="20"/>
          <w:szCs w:val="20"/>
          <w:color w:val="auto"/>
        </w:rPr>
      </w:pPr>
      <w:r>
        <w:rPr>
          <w:rFonts w:ascii="Arial" w:cs="Arial" w:eastAsia="Arial" w:hAnsi="Arial"/>
          <w:sz w:val="19"/>
          <w:szCs w:val="19"/>
          <w:color w:val="auto"/>
        </w:rPr>
        <w:t xml:space="preserve">8.2.16 </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The Borrowers shall not permit (a) the Consolidated EBITDA represented by an Immaterial Subsidiary to exceed five percent (5%) of the Company’s Consolidated EBITDA or (b) the total assets of such Immaterial Subsidiary to be equal to or greater than five percent (5%) of the Company’s Consolidated Total Assets, in either case of clause (a) or (b), without joining such Subsidiary as a Loan Party pursuant to the terms and conditions of Section 12.15 hereof.</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8.2.17 </w:t>
      </w:r>
      <w:r>
        <w:rPr>
          <w:rFonts w:ascii="Arial" w:cs="Arial" w:eastAsia="Arial" w:hAnsi="Arial"/>
          <w:sz w:val="22"/>
          <w:szCs w:val="22"/>
          <w:u w:val="single" w:color="auto"/>
          <w:color w:val="auto"/>
        </w:rPr>
        <w:t>Canadian Pension Plans</w:t>
      </w:r>
      <w:r>
        <w:rPr>
          <w:rFonts w:ascii="Arial" w:cs="Arial" w:eastAsia="Arial" w:hAnsi="Arial"/>
          <w:sz w:val="22"/>
          <w:szCs w:val="22"/>
          <w:color w:val="auto"/>
        </w:rPr>
        <w:t>. No Loan Party shall establish, maintain, participate in or contribute to any Canadian Pension Plan which contains a defined benefit provisions (as such term is defined in subsection 147.1(1) of the Income Tax Act (Canada).</w:t>
      </w:r>
    </w:p>
    <w:p>
      <w:pPr>
        <w:spacing w:after="0" w:line="18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8.2.18 </w:t>
      </w:r>
      <w:r>
        <w:rPr>
          <w:rFonts w:ascii="Arial" w:cs="Arial" w:eastAsia="Arial" w:hAnsi="Arial"/>
          <w:sz w:val="21"/>
          <w:szCs w:val="21"/>
          <w:u w:val="single" w:color="auto"/>
          <w:color w:val="auto"/>
        </w:rPr>
        <w:t>UK Pension Plans</w:t>
      </w:r>
      <w:r>
        <w:rPr>
          <w:rFonts w:ascii="Arial" w:cs="Arial" w:eastAsia="Arial" w:hAnsi="Arial"/>
          <w:sz w:val="21"/>
          <w:szCs w:val="21"/>
          <w:color w:val="auto"/>
        </w:rPr>
        <w:t>. Except as provided on Schedule 6.1.13, no member of the Group will be or has been at any time an employer (for the purposes of sections 38 to 51 of the Pensions Act 2004) of an occupational pension scheme which is not a money purchase scheme (both terms as defined in the Pension Schemes Act 1993) or "connected" with or an "associate" of (as those terms are used in sections 38 or 43 of the Pensions Act 2004) such an employer.</w:t>
      </w:r>
    </w:p>
    <w:p>
      <w:pPr>
        <w:spacing w:after="0" w:line="176" w:lineRule="exact"/>
        <w:rPr>
          <w:sz w:val="20"/>
          <w:szCs w:val="20"/>
          <w:color w:val="auto"/>
        </w:rPr>
      </w:pPr>
    </w:p>
    <w:p>
      <w:pPr>
        <w:ind w:left="80" w:firstLine="648"/>
        <w:spacing w:after="0" w:line="26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Reporting Requirements.</w:t>
      </w:r>
      <w:r>
        <w:rPr>
          <w:rFonts w:ascii="Arial" w:cs="Arial" w:eastAsia="Arial" w:hAnsi="Arial"/>
          <w:sz w:val="22"/>
          <w:szCs w:val="22"/>
          <w:color w:val="auto"/>
        </w:rPr>
        <w:t xml:space="preserve"> The Loan Parties will furnish or cause to be furnished to the Administrative Agent and each of the Lenders:</w:t>
      </w:r>
    </w:p>
    <w:p>
      <w:pPr>
        <w:spacing w:after="0" w:line="17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8.3.1 </w:t>
      </w: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forty-five (45) calendar days after the end of each of the first three fiscal quarters in each fiscal year, a copy of the Company's Quarterly Report on Form 10-Q as filed with the Securities and Exchange Commission and the financial statements of the Company and its Subsidiaries, consisting of a consolidated balance sheet as of the end of such fiscal quarter and related consolidated statements of income and cash flows for the fiscal quarter then ended and the fiscal year through that date, all in reasonable detail and certified (subject to normal year-end audit adjustments) by the Chief Executive Officer, President, Chief or Deputy Chief Financial Officer, Treasurer or Assistant Treasurer of the Company as having been prepared in accordance with</w:t>
      </w:r>
    </w:p>
    <w:p>
      <w:pPr>
        <w:sectPr>
          <w:pgSz w:w="11900" w:h="16838" w:orient="portrait"/>
          <w:cols w:equalWidth="0" w:num="1">
            <w:col w:w="11420"/>
          </w:cols>
          <w:pgMar w:left="240" w:top="14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- 92 -</w:t>
      </w:r>
    </w:p>
    <w:p>
      <w:pPr>
        <w:sectPr>
          <w:pgSz w:w="11900" w:h="16838" w:orient="portrait"/>
          <w:cols w:equalWidth="0" w:num="1">
            <w:col w:w="11420"/>
          </w:cols>
          <w:pgMar w:left="240" w:top="1428" w:right="239" w:bottom="1440" w:gutter="0" w:footer="0" w:header="0"/>
          <w:type w:val="continuous"/>
        </w:sectPr>
      </w:pPr>
    </w:p>
    <w:bookmarkStart w:id="106" w:name="page107"/>
    <w:bookmarkEnd w:id="106"/>
    <w:p>
      <w:pPr>
        <w:jc w:val="both"/>
        <w:ind w:right="20"/>
        <w:spacing w:after="0" w:line="263" w:lineRule="auto"/>
        <w:rPr>
          <w:sz w:val="20"/>
          <w:szCs w:val="20"/>
          <w:color w:val="auto"/>
        </w:rPr>
      </w:pPr>
      <w:r>
        <w:rPr>
          <w:rFonts w:ascii="Arial" w:cs="Arial" w:eastAsia="Arial" w:hAnsi="Arial"/>
          <w:sz w:val="22"/>
          <w:szCs w:val="22"/>
          <w:color w:val="auto"/>
        </w:rPr>
        <w:t>GAAP, consistently applied, and setting forth in comparative form the respective financial statements for the corresponding date and period in the previous fiscal year.</w:t>
      </w:r>
    </w:p>
    <w:p>
      <w:pPr>
        <w:spacing w:after="0" w:line="17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8.3.2 </w:t>
      </w: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ninety (90) days after the end of each fiscal year of the Company, a copy of the Company's Annual Report on Form 10-K as filed with the Securities and Exchange Commission and the financial statements of the Company and its Subsidiaries consisting of a consolidated balance sheet as of the end of such fiscal year, and related consolidated statements of income, stockholders' equity and cash flows for the fiscal year then ended, all in reasonable detail and setting forth in comparative form the financial statements as of the end of and for the preceding fiscal year, and certified by independent certified public accountants of nationally recognized standing satisfactory to the Administrative Agent. The certificate or report of accountants shall be free of qualifications (other than any consistency qualification that may result from a change in the method used to prepare the financial statements as to which such accountants concur) and shall not indicate the occurrence or existence of any event, condition or contingency which would materially impair the prospect of payment or performance of any covenant, agreement or duty of any Loan Party under any of the Loan Documents.</w:t>
      </w:r>
    </w:p>
    <w:p>
      <w:pPr>
        <w:spacing w:after="0" w:line="16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8.3.3 </w:t>
      </w:r>
      <w:r>
        <w:rPr>
          <w:rFonts w:ascii="Arial" w:cs="Arial" w:eastAsia="Arial" w:hAnsi="Arial"/>
          <w:sz w:val="22"/>
          <w:szCs w:val="22"/>
          <w:u w:val="single" w:color="auto"/>
          <w:color w:val="auto"/>
        </w:rPr>
        <w:t>Certificate of the Company</w:t>
      </w:r>
      <w:r>
        <w:rPr>
          <w:rFonts w:ascii="Arial" w:cs="Arial" w:eastAsia="Arial" w:hAnsi="Arial"/>
          <w:sz w:val="22"/>
          <w:szCs w:val="22"/>
          <w:color w:val="auto"/>
        </w:rPr>
        <w:t>. Concurrently with (i) the quarterly financial statements of the Company furnished to the Administrative Agent and to the Lenders pursuant to clause (ii) of Section 8.3.1 [Quarterly Financial Statements], commencing with the fiscal quarter ending March 31, 2019 and for all fiscal quarters ending thereafter, and (ii) the financial statements of the Company furnished to the Administrative Agent and to the Lenders pursuant to Section 8.3.2 [Annual Financial Statements], commencing with the fiscal year ending December 31, 2019 and for all fiscal years ending thereafter, in each case of clause (i) and (ii) above, a certificate (each a "</w:t>
      </w:r>
      <w:r>
        <w:rPr>
          <w:rFonts w:ascii="Arial" w:cs="Arial" w:eastAsia="Arial" w:hAnsi="Arial"/>
          <w:sz w:val="22"/>
          <w:szCs w:val="22"/>
          <w:b w:val="1"/>
          <w:bCs w:val="1"/>
          <w:color w:val="auto"/>
        </w:rPr>
        <w:t>Compliance Certificate</w:t>
      </w:r>
      <w:r>
        <w:rPr>
          <w:rFonts w:ascii="Arial" w:cs="Arial" w:eastAsia="Arial" w:hAnsi="Arial"/>
          <w:sz w:val="22"/>
          <w:szCs w:val="22"/>
          <w:color w:val="auto"/>
        </w:rPr>
        <w:t xml:space="preserve">") of the Company signed by a Senior Officer of the Company in the form of </w:t>
      </w:r>
      <w:r>
        <w:rPr>
          <w:rFonts w:ascii="Arial" w:cs="Arial" w:eastAsia="Arial" w:hAnsi="Arial"/>
          <w:sz w:val="22"/>
          <w:szCs w:val="22"/>
          <w:u w:val="single" w:color="auto"/>
          <w:color w:val="auto"/>
        </w:rPr>
        <w:t>Exhibit 8.3.3</w:t>
      </w:r>
      <w:r>
        <w:rPr>
          <w:rFonts w:ascii="Arial" w:cs="Arial" w:eastAsia="Arial" w:hAnsi="Arial"/>
          <w:sz w:val="22"/>
          <w:szCs w:val="22"/>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8.3.4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8.3.4.1 </w:t>
      </w:r>
      <w:r>
        <w:rPr>
          <w:rFonts w:ascii="Arial" w:cs="Arial" w:eastAsia="Arial" w:hAnsi="Arial"/>
          <w:sz w:val="22"/>
          <w:szCs w:val="22"/>
          <w:u w:val="single" w:color="auto"/>
          <w:color w:val="auto"/>
        </w:rPr>
        <w:t>Default</w:t>
      </w:r>
      <w:r>
        <w:rPr>
          <w:rFonts w:ascii="Arial" w:cs="Arial" w:eastAsia="Arial" w:hAnsi="Arial"/>
          <w:sz w:val="22"/>
          <w:szCs w:val="22"/>
          <w:color w:val="auto"/>
        </w:rPr>
        <w:t>. Promptly after any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spacing w:after="0" w:line="186"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 xml:space="preserve">8.3.4.2 </w:t>
      </w:r>
      <w:r>
        <w:rPr>
          <w:rFonts w:ascii="Arial" w:cs="Arial" w:eastAsia="Arial" w:hAnsi="Arial"/>
          <w:sz w:val="22"/>
          <w:szCs w:val="22"/>
          <w:u w:val="single" w:color="auto"/>
          <w:color w:val="auto"/>
        </w:rPr>
        <w:t>Litigation</w:t>
      </w:r>
      <w:r>
        <w:rPr>
          <w:rFonts w:ascii="Arial" w:cs="Arial" w:eastAsia="Arial" w:hAnsi="Arial"/>
          <w:sz w:val="22"/>
          <w:szCs w:val="22"/>
          <w:color w:val="auto"/>
        </w:rPr>
        <w:t>. Promptly after the commencement thereof, notice of all actions, suits, proceedings or investigations before or by any Official Body or any other Person against any Loan Party or Subsidiary of any Loan Party which involve a claim or series of claims in excess of $10,000,000 or which would reasonably be expected to constitute a Material Adverse Change.</w:t>
      </w:r>
    </w:p>
    <w:p>
      <w:pPr>
        <w:spacing w:after="0" w:line="188" w:lineRule="exact"/>
        <w:rPr>
          <w:sz w:val="20"/>
          <w:szCs w:val="20"/>
          <w:color w:val="auto"/>
        </w:rPr>
      </w:pPr>
    </w:p>
    <w:p>
      <w:pPr>
        <w:jc w:val="both"/>
        <w:ind w:right="20" w:firstLine="1945"/>
        <w:spacing w:after="0" w:line="263" w:lineRule="auto"/>
        <w:rPr>
          <w:sz w:val="20"/>
          <w:szCs w:val="20"/>
          <w:color w:val="auto"/>
        </w:rPr>
      </w:pPr>
      <w:r>
        <w:rPr>
          <w:rFonts w:ascii="Arial" w:cs="Arial" w:eastAsia="Arial" w:hAnsi="Arial"/>
          <w:sz w:val="22"/>
          <w:szCs w:val="22"/>
          <w:color w:val="auto"/>
        </w:rPr>
        <w:t xml:space="preserve">8.3.4.3 </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Within the time limits set forth in Section 8.2.12 [Changes in Organizational Documents], any amendment to the organizational documents of any Loan Party.</w:t>
      </w:r>
    </w:p>
    <w:p>
      <w:pPr>
        <w:spacing w:after="0" w:line="175" w:lineRule="exact"/>
        <w:rPr>
          <w:sz w:val="20"/>
          <w:szCs w:val="20"/>
          <w:color w:val="auto"/>
        </w:rPr>
      </w:pPr>
    </w:p>
    <w:p>
      <w:pPr>
        <w:jc w:val="both"/>
        <w:ind w:firstLine="1945"/>
        <w:spacing w:after="0" w:line="263" w:lineRule="auto"/>
        <w:rPr>
          <w:sz w:val="20"/>
          <w:szCs w:val="20"/>
          <w:color w:val="auto"/>
        </w:rPr>
      </w:pPr>
      <w:r>
        <w:rPr>
          <w:rFonts w:ascii="Arial" w:cs="Arial" w:eastAsia="Arial" w:hAnsi="Arial"/>
          <w:sz w:val="22"/>
          <w:szCs w:val="22"/>
          <w:color w:val="auto"/>
        </w:rPr>
        <w:t xml:space="preserve">8.3.4.4 </w:t>
      </w:r>
      <w:r>
        <w:rPr>
          <w:rFonts w:ascii="Arial" w:cs="Arial" w:eastAsia="Arial" w:hAnsi="Arial"/>
          <w:sz w:val="22"/>
          <w:szCs w:val="22"/>
          <w:u w:val="single" w:color="auto"/>
          <w:color w:val="auto"/>
        </w:rPr>
        <w:t>Erroneous Financial Information</w:t>
      </w:r>
      <w:r>
        <w:rPr>
          <w:rFonts w:ascii="Arial" w:cs="Arial" w:eastAsia="Arial" w:hAnsi="Arial"/>
          <w:sz w:val="22"/>
          <w:szCs w:val="22"/>
          <w:color w:val="auto"/>
        </w:rPr>
        <w:t>. Immediately in the event that the Company or its accountants conclude or advise that any previously issued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- 93 -</w:t>
      </w:r>
    </w:p>
    <w:p>
      <w:pPr>
        <w:sectPr>
          <w:pgSz w:w="11900" w:h="16838" w:orient="portrait"/>
          <w:cols w:equalWidth="0" w:num="1">
            <w:col w:w="11420"/>
          </w:cols>
          <w:pgMar w:left="240" w:top="1428" w:right="2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22"/>
          <w:szCs w:val="22"/>
          <w:color w:val="auto"/>
        </w:rPr>
        <w:t>statement, audit report or interim review should no longer be relied upon or that disclosure should be made or action should be taken to prevent future reliance.</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 xml:space="preserve">8.3.4.5 </w:t>
      </w:r>
      <w:r>
        <w:rPr>
          <w:rFonts w:ascii="Arial" w:cs="Arial" w:eastAsia="Arial" w:hAnsi="Arial"/>
          <w:sz w:val="19"/>
          <w:szCs w:val="19"/>
          <w:u w:val="single" w:color="auto"/>
          <w:color w:val="auto"/>
        </w:rPr>
        <w:t>ERISA Event</w:t>
      </w:r>
      <w:r>
        <w:rPr>
          <w:rFonts w:ascii="Arial" w:cs="Arial" w:eastAsia="Arial" w:hAnsi="Arial"/>
          <w:sz w:val="19"/>
          <w:szCs w:val="19"/>
          <w:color w:val="auto"/>
        </w:rPr>
        <w:t>. Immediately upon the occurrence of any ERISA Event or a Canadian Pension Event.</w:t>
      </w:r>
    </w:p>
    <w:p>
      <w:pPr>
        <w:spacing w:after="0" w:line="254"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8.3.4.6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Promptly after any officer of any Loan Party has learned of an environmental matter which would constitute a Material Adverse Change and the action which such Loan Party proposes to take with respect thereto.</w:t>
      </w:r>
    </w:p>
    <w:p>
      <w:pPr>
        <w:spacing w:after="0" w:line="186"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8.3.4.7 </w:t>
      </w:r>
      <w:r>
        <w:rPr>
          <w:rFonts w:ascii="Arial" w:cs="Arial" w:eastAsia="Arial" w:hAnsi="Arial"/>
          <w:sz w:val="22"/>
          <w:szCs w:val="22"/>
          <w:u w:val="single" w:color="auto"/>
          <w:color w:val="auto"/>
        </w:rPr>
        <w:t>Registration Statements</w:t>
      </w:r>
      <w:r>
        <w:rPr>
          <w:rFonts w:ascii="Arial" w:cs="Arial" w:eastAsia="Arial" w:hAnsi="Arial"/>
          <w:sz w:val="22"/>
          <w:szCs w:val="22"/>
          <w:color w:val="auto"/>
        </w:rPr>
        <w:t>. Promptly upon the filing thereof, copies of all registration statements (other than any registration statements on Form S-8 or its equivalent) and any report which the Company shall have filed with the Securities and Exchange Commission.</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8.3.4.8 </w:t>
      </w:r>
      <w:r>
        <w:rPr>
          <w:rFonts w:ascii="Arial" w:cs="Arial" w:eastAsia="Arial" w:hAnsi="Arial"/>
          <w:sz w:val="22"/>
          <w:szCs w:val="22"/>
          <w:u w:val="single" w:color="auto"/>
          <w:color w:val="auto"/>
        </w:rPr>
        <w:t>Other Reports</w:t>
      </w:r>
      <w:r>
        <w:rPr>
          <w:rFonts w:ascii="Arial" w:cs="Arial" w:eastAsia="Arial" w:hAnsi="Arial"/>
          <w:sz w:val="22"/>
          <w:szCs w:val="22"/>
          <w:color w:val="auto"/>
        </w:rPr>
        <w:t>. Promptly upon their becoming available to the Borrowers:</w:t>
      </w:r>
    </w:p>
    <w:p>
      <w:pPr>
        <w:spacing w:after="0" w:line="220" w:lineRule="exact"/>
        <w:rPr>
          <w:sz w:val="20"/>
          <w:szCs w:val="20"/>
          <w:color w:val="auto"/>
        </w:rPr>
      </w:pPr>
    </w:p>
    <w:p>
      <w:pPr>
        <w:ind w:right="20" w:firstLine="1953"/>
        <w:spacing w:after="0" w:line="263" w:lineRule="auto"/>
        <w:tabs>
          <w:tab w:leader="none" w:pos="221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Annual Budget</w:t>
      </w:r>
      <w:r>
        <w:rPr>
          <w:rFonts w:ascii="Arial" w:cs="Arial" w:eastAsia="Arial" w:hAnsi="Arial"/>
          <w:sz w:val="22"/>
          <w:szCs w:val="22"/>
          <w:color w:val="auto"/>
        </w:rPr>
        <w:t>. The annual budget and any forecasts or projections of the Company, to be supplied not later than January 31st of each year to which any of the foregoing may be applicable,</w:t>
      </w:r>
    </w:p>
    <w:p>
      <w:pPr>
        <w:spacing w:after="0" w:line="174" w:lineRule="exact"/>
        <w:rPr>
          <w:rFonts w:ascii="Arial" w:cs="Arial" w:eastAsia="Arial" w:hAnsi="Arial"/>
          <w:sz w:val="22"/>
          <w:szCs w:val="22"/>
          <w:color w:val="auto"/>
        </w:rPr>
      </w:pPr>
    </w:p>
    <w:p>
      <w:pPr>
        <w:ind w:right="20" w:firstLine="1953"/>
        <w:spacing w:after="0" w:line="263" w:lineRule="auto"/>
        <w:tabs>
          <w:tab w:leader="none" w:pos="234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Management Letters</w:t>
      </w:r>
      <w:r>
        <w:rPr>
          <w:rFonts w:ascii="Arial" w:cs="Arial" w:eastAsia="Arial" w:hAnsi="Arial"/>
          <w:sz w:val="22"/>
          <w:szCs w:val="22"/>
          <w:color w:val="auto"/>
        </w:rPr>
        <w:t>. Any reports including management letters submitted to the Company by independent accountants in connection with any annual, interim or special audit, and</w:t>
      </w:r>
    </w:p>
    <w:p>
      <w:pPr>
        <w:spacing w:after="0" w:line="174" w:lineRule="exact"/>
        <w:rPr>
          <w:rFonts w:ascii="Arial" w:cs="Arial" w:eastAsia="Arial" w:hAnsi="Arial"/>
          <w:sz w:val="22"/>
          <w:szCs w:val="22"/>
          <w:color w:val="auto"/>
        </w:rPr>
      </w:pPr>
    </w:p>
    <w:p>
      <w:pPr>
        <w:ind w:left="2360" w:hanging="407"/>
        <w:spacing w:after="0"/>
        <w:tabs>
          <w:tab w:leader="none" w:pos="236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Such other reports and information as any of the Lenders may from time to time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reasonably request.</w:t>
      </w:r>
    </w:p>
    <w:p>
      <w:pPr>
        <w:spacing w:after="0" w:line="202" w:lineRule="exact"/>
        <w:rPr>
          <w:sz w:val="20"/>
          <w:szCs w:val="20"/>
          <w:color w:val="auto"/>
        </w:rPr>
      </w:pPr>
    </w:p>
    <w:p>
      <w:pPr>
        <w:ind w:left="5340" w:hanging="208"/>
        <w:spacing w:after="0"/>
        <w:tabs>
          <w:tab w:leader="none" w:pos="53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DEFAULT</w:t>
      </w:r>
    </w:p>
    <w:p>
      <w:pPr>
        <w:spacing w:after="0" w:line="220" w:lineRule="exact"/>
        <w:rPr>
          <w:sz w:val="20"/>
          <w:szCs w:val="20"/>
          <w:color w:val="auto"/>
        </w:rPr>
      </w:pPr>
    </w:p>
    <w:p>
      <w:pPr>
        <w:ind w:left="80" w:right="420" w:firstLine="648"/>
        <w:spacing w:after="0" w:line="343"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Events of Default.</w:t>
      </w:r>
      <w:r>
        <w:rPr>
          <w:rFonts w:ascii="Arial" w:cs="Arial" w:eastAsia="Arial" w:hAnsi="Arial"/>
          <w:sz w:val="19"/>
          <w:szCs w:val="19"/>
          <w:color w:val="auto"/>
        </w:rPr>
        <w:t xml:space="preserve"> An Event of Default shall mean the occurrence or existence of any one or more of the following events or conditions (whatever the reason therefor and whether voluntary, involuntary or effected by operation of Law):</w:t>
      </w:r>
    </w:p>
    <w:p>
      <w:pPr>
        <w:spacing w:after="0" w:line="10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Payments Under Loan Documents</w:t>
      </w:r>
      <w:r>
        <w:rPr>
          <w:rFonts w:ascii="Arial" w:cs="Arial" w:eastAsia="Arial" w:hAnsi="Arial"/>
          <w:sz w:val="19"/>
          <w:szCs w:val="19"/>
          <w:color w:val="auto"/>
        </w:rPr>
        <w:t>. The Borrowers shall fail to pay (i) any principal of any Loan (including scheduled installments, mandatory prepayments or the payment due at maturity), Reimbursement Obligation or Letter of Credit Obligation on the date on which such principal becomes due in accordance with the terms hereof or thereof, or (ii) any interest on any Loan, Reimbursement Obligation or Letter of Credit Obligation or any other amount owing hereunder or under the other Loan Documents on the date on which such interest or other amount becomes due in accordance with the terms hereof or thereof and such default shall continue unremedied for a period of three (3) days after such default;</w:t>
      </w:r>
    </w:p>
    <w:p>
      <w:pPr>
        <w:spacing w:after="0" w:line="15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Breach of Warranty</w:t>
      </w:r>
      <w:r>
        <w:rPr>
          <w:rFonts w:ascii="Arial" w:cs="Arial" w:eastAsia="Arial" w:hAnsi="Arial"/>
          <w:sz w:val="22"/>
          <w:szCs w:val="22"/>
          <w:color w:val="auto"/>
        </w:rPr>
        <w:t>. 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- 94 -</w:t>
      </w:r>
    </w:p>
    <w:p>
      <w:pPr>
        <w:sectPr>
          <w:pgSz w:w="11900" w:h="16838" w:orient="portrait"/>
          <w:cols w:equalWidth="0" w:num="1">
            <w:col w:w="11420"/>
          </w:cols>
          <w:pgMar w:left="240" w:top="1428" w:right="239" w:bottom="1440" w:gutter="0" w:footer="0" w:header="0"/>
        </w:sectPr>
      </w:pPr>
    </w:p>
    <w:bookmarkStart w:id="108" w:name="page109"/>
    <w:bookmarkEnd w:id="108"/>
    <w:p>
      <w:pPr>
        <w:jc w:val="both"/>
        <w:ind w:right="20" w:firstLine="1297"/>
        <w:spacing w:after="0" w:line="263"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Anti-Terrorism Laws</w:t>
      </w:r>
      <w:r>
        <w:rPr>
          <w:rFonts w:ascii="Arial" w:cs="Arial" w:eastAsia="Arial" w:hAnsi="Arial"/>
          <w:sz w:val="22"/>
          <w:szCs w:val="22"/>
          <w:color w:val="auto"/>
        </w:rPr>
        <w:t>. Any representation or warranty contained in Section 6.1.17 [Anti-Terrorism Laws] is or becomes false or misleading at any time;</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u w:val="single" w:color="auto"/>
          <w:color w:val="auto"/>
        </w:rPr>
        <w:t>Breach of Negative Covenants, Visitation Rights or Anti-Terrorism Laws</w:t>
      </w:r>
      <w:r>
        <w:rPr>
          <w:rFonts w:ascii="Arial" w:cs="Arial" w:eastAsia="Arial" w:hAnsi="Arial"/>
          <w:sz w:val="22"/>
          <w:szCs w:val="22"/>
          <w:color w:val="auto"/>
        </w:rPr>
        <w:t>. Any of the Loan Parties shall default in the observance or performance of any covenant contained in Section 8.1.2 in respect of Priority Payables [Payment of Priority Payables and Taxes], Section 8.1.5 [Visitation Rights], Section 8.1.8 [Anti-Terrorism Laws; International Trade Law Compliance] or Section 8.1.11 [Negative Covenants];</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Breach of Other Covenants</w:t>
      </w:r>
      <w:r>
        <w:rPr>
          <w:rFonts w:ascii="Arial" w:cs="Arial" w:eastAsia="Arial" w:hAnsi="Arial"/>
          <w:sz w:val="22"/>
          <w:szCs w:val="22"/>
          <w:color w:val="auto"/>
        </w:rPr>
        <w:t>. Any of the Loan Parties shall default in the observance or performance of any other covenant, condition or provision hereof or of any other Loan Document and such default shall continue unremedied for a period of ten (10) Business Days;</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9.1.6 </w:t>
      </w:r>
      <w:r>
        <w:rPr>
          <w:rFonts w:ascii="Arial" w:cs="Arial" w:eastAsia="Arial" w:hAnsi="Arial"/>
          <w:sz w:val="21"/>
          <w:szCs w:val="21"/>
          <w:u w:val="single" w:color="auto"/>
          <w:color w:val="auto"/>
        </w:rPr>
        <w:t>Defaults in Other Agreements or Indebtedness</w:t>
      </w:r>
      <w:r>
        <w:rPr>
          <w:rFonts w:ascii="Arial" w:cs="Arial" w:eastAsia="Arial" w:hAnsi="Arial"/>
          <w:sz w:val="21"/>
          <w:szCs w:val="21"/>
          <w:color w:val="auto"/>
        </w:rPr>
        <w:t>. A default or event of default shall occur at any time under the terms of any other agreement involving borrowed money or the extension of credit or any other Indebtedness under which any Loan Party or Subsidiary of any Loan Party may be obligated as a borrower or guarantor in excess of $15,000,000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9.1.7 </w:t>
      </w:r>
      <w:r>
        <w:rPr>
          <w:rFonts w:ascii="Arial" w:cs="Arial" w:eastAsia="Arial" w:hAnsi="Arial"/>
          <w:sz w:val="19"/>
          <w:szCs w:val="19"/>
          <w:u w:val="single" w:color="auto"/>
          <w:color w:val="auto"/>
        </w:rPr>
        <w:t>Final Judgments or Orders</w:t>
      </w:r>
      <w:r>
        <w:rPr>
          <w:rFonts w:ascii="Arial" w:cs="Arial" w:eastAsia="Arial" w:hAnsi="Arial"/>
          <w:sz w:val="19"/>
          <w:szCs w:val="19"/>
          <w:color w:val="auto"/>
        </w:rPr>
        <w:t>. Any final judgments or orders for the payment of money in excess of $15,000,000 in the aggregate shall be entered against any Loan Party by a court having jurisdiction in the premises, which judgment is not discharged, vacated, bonded or stayed pending appeal within a period of thirty (30) days from the date of entry;</w:t>
      </w:r>
    </w:p>
    <w:p>
      <w:pPr>
        <w:spacing w:after="0" w:line="13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9.1.8 </w:t>
      </w:r>
      <w:r>
        <w:rPr>
          <w:rFonts w:ascii="Arial" w:cs="Arial" w:eastAsia="Arial" w:hAnsi="Arial"/>
          <w:sz w:val="19"/>
          <w:szCs w:val="19"/>
          <w:u w:val="single" w:color="auto"/>
          <w:color w:val="auto"/>
        </w:rPr>
        <w:t>Loan Document Unenforceable</w:t>
      </w:r>
      <w:r>
        <w:rPr>
          <w:rFonts w:ascii="Arial" w:cs="Arial" w:eastAsia="Arial" w:hAnsi="Arial"/>
          <w:sz w:val="19"/>
          <w:szCs w:val="19"/>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14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9.1.9 </w:t>
      </w:r>
      <w:r>
        <w:rPr>
          <w:rFonts w:ascii="Arial" w:cs="Arial" w:eastAsia="Arial" w:hAnsi="Arial"/>
          <w:sz w:val="19"/>
          <w:szCs w:val="19"/>
          <w:u w:val="single" w:color="auto"/>
          <w:color w:val="auto"/>
        </w:rPr>
        <w:t>Events Relating to Plans and Benefit Arrangements</w:t>
      </w:r>
      <w:r>
        <w:rPr>
          <w:rFonts w:ascii="Arial" w:cs="Arial" w:eastAsia="Arial" w:hAnsi="Arial"/>
          <w:sz w:val="19"/>
          <w:szCs w:val="19"/>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$15,000,000 or (ii) any Borrower or any ERISA Affiliate fails to pay when due, after the expiration of any applicable grace period, any installment payment with respect to its withdrawal liability under Section 4201 of ERISA under a Multiemployer Plan in an aggregate amount in excess of $15,000,000 or (iii) a Canadian Pension Event occurs which has resulted or could reasonably be expected to result in liability of the Borrowers in an aggregate amount in excess of $15,000,000 or (iv) The Pensions Regulator issues a Financial Support Direction or a Contribution Notice to any UK Borrower unless the aggregate liability of the UK Borrowers under all Financial Support Directions and Contributions Notices is less than $15,000,000;</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9.1.10 </w:t>
      </w:r>
      <w:r>
        <w:rPr>
          <w:rFonts w:ascii="Arial" w:cs="Arial" w:eastAsia="Arial" w:hAnsi="Arial"/>
          <w:sz w:val="19"/>
          <w:szCs w:val="19"/>
          <w:u w:val="single" w:color="auto"/>
          <w:color w:val="auto"/>
        </w:rPr>
        <w:t>Change of Control</w:t>
      </w:r>
      <w:r>
        <w:rPr>
          <w:rFonts w:ascii="Arial" w:cs="Arial" w:eastAsia="Arial" w:hAnsi="Arial"/>
          <w:sz w:val="19"/>
          <w:szCs w:val="19"/>
          <w:color w:val="auto"/>
        </w:rPr>
        <w:t>. (i) Any person or group of persons (within the meaning of Sections 13(d), 14(a) or 14(d)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- 95 -</w:t>
      </w:r>
    </w:p>
    <w:p>
      <w:pPr>
        <w:sectPr>
          <w:pgSz w:w="11900" w:h="16838" w:orient="portrait"/>
          <w:cols w:equalWidth="0" w:num="1">
            <w:col w:w="11420"/>
          </w:cols>
          <w:pgMar w:left="240" w:top="1428" w:right="239" w:bottom="1440" w:gutter="0" w:footer="0" w:header="0"/>
        </w:sectPr>
      </w:pPr>
    </w:p>
    <w:bookmarkStart w:id="109" w:name="page110"/>
    <w:bookmarkEnd w:id="109"/>
    <w:p>
      <w:pPr>
        <w:jc w:val="both"/>
        <w:spacing w:after="0" w:line="265" w:lineRule="auto"/>
        <w:rPr>
          <w:sz w:val="20"/>
          <w:szCs w:val="20"/>
          <w:color w:val="auto"/>
        </w:rPr>
      </w:pPr>
      <w:r>
        <w:rPr>
          <w:rFonts w:ascii="Arial" w:cs="Arial" w:eastAsia="Arial" w:hAnsi="Arial"/>
          <w:sz w:val="21"/>
          <w:szCs w:val="21"/>
          <w:color w:val="auto"/>
        </w:rPr>
        <w:t>shall have acquired beneficial ownership, directly or indirectly, of (within the meaning of Rule 13d-3 and 13(d)-5 promulgated by the Securities and Exchange Commission under said Act) 25% or more of the voting capital stock of the Company; or (ii) the Company shall cease to own, directly or indirectly, all of the ownership interests of each Borrower except for such reduction in interest as permitted in Section 8.2.7 [Dispositions of Assets or Subsidiaries] hereof.</w:t>
      </w:r>
    </w:p>
    <w:p>
      <w:pPr>
        <w:spacing w:after="0" w:line="17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9.1.11 </w:t>
      </w:r>
      <w:r>
        <w:rPr>
          <w:rFonts w:ascii="Arial" w:cs="Arial" w:eastAsia="Arial" w:hAnsi="Arial"/>
          <w:sz w:val="22"/>
          <w:szCs w:val="22"/>
          <w:u w:val="single" w:color="auto"/>
          <w:color w:val="auto"/>
        </w:rPr>
        <w:t>Relief Proceedings</w:t>
      </w:r>
      <w:r>
        <w:rPr>
          <w:rFonts w:ascii="Arial" w:cs="Arial" w:eastAsia="Arial" w:hAnsi="Arial"/>
          <w:sz w:val="22"/>
          <w:szCs w:val="22"/>
          <w:color w:val="auto"/>
        </w:rPr>
        <w:t>. (i) A Relief Proceeding shall have been instituted against any Loan Party or Subsidiary of a Loan Party and such Relief Proceeding shall be unstayed and remain undismissed and in each case unadvertised and in effect for a period of forty-five (45) consecutive days or such court shall enter a decree or order granting any of the relief sought in such Relief Proceeding, (ii) any Loan Party or Subsidiary of a Loan Party institutes, or takes any action in furtherance of, a Relief Proceeding, or (iii) any Loan Party or any Subsidiary of a Loan Party ceases to be Solvent or admits in writing its inability to pay its debts as they mature.</w:t>
      </w:r>
    </w:p>
    <w:p>
      <w:pPr>
        <w:spacing w:after="0" w:line="19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9.1.12 </w:t>
      </w:r>
      <w:r>
        <w:rPr>
          <w:rFonts w:ascii="Arial" w:cs="Arial" w:eastAsia="Arial" w:hAnsi="Arial"/>
          <w:sz w:val="21"/>
          <w:szCs w:val="21"/>
          <w:u w:val="single" w:color="auto"/>
          <w:color w:val="auto"/>
        </w:rPr>
        <w:t>Uninsured Losses; Proceedings Against Assets</w:t>
      </w:r>
      <w:r>
        <w:rPr>
          <w:rFonts w:ascii="Arial" w:cs="Arial" w:eastAsia="Arial" w:hAnsi="Arial"/>
          <w:sz w:val="21"/>
          <w:szCs w:val="21"/>
          <w:color w:val="auto"/>
        </w:rPr>
        <w:t>. There shall occur any material uninsured damage to or loss, theft or destruction of any of the Collateral in excess of $15,000,000 or the Collateral or any other of the Loan Parties' or any of their Subsidiaries' assets are attached, seized, levied upon or subjected to a writ or distress warrant; or such come within the possession or control of any receiver, interim receiver, receiver and manager, monitor, trustee, custodian, liquidator or assignee for the benefit of creditors and the same is not cured within forty-five (45) days thereafter.</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Consequences of Event of Default.</w:t>
      </w:r>
    </w:p>
    <w:p>
      <w:pPr>
        <w:spacing w:after="0" w:line="22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9.2.1 </w:t>
      </w:r>
      <w:r>
        <w:rPr>
          <w:rFonts w:ascii="Arial" w:cs="Arial" w:eastAsia="Arial" w:hAnsi="Arial"/>
          <w:sz w:val="19"/>
          <w:szCs w:val="19"/>
          <w:u w:val="single" w:color="auto"/>
          <w:color w:val="auto"/>
        </w:rPr>
        <w:t>Events of Default Other Than Bankruptcy, Insolvency or Reorganization Proceedings</w:t>
      </w:r>
      <w:r>
        <w:rPr>
          <w:rFonts w:ascii="Arial" w:cs="Arial" w:eastAsia="Arial" w:hAnsi="Arial"/>
          <w:sz w:val="19"/>
          <w:szCs w:val="19"/>
          <w:color w:val="auto"/>
        </w:rPr>
        <w:t>. If an Event of Default specified under Sections 9.1.1 [Payments Under Loan Documents] through 9.1.10 [Change of Control]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Borrowers, declare the unpaid principal amount of the Notes then outstanding and all interest accrued thereon, any unpaid fees and all other Indebtedness of the Borrowers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terminate any Letter of Credit that may be terminated in accordance with its terms and/or require the Borrowers to, and the Borrowers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Borrowers hereby pledge to the Administrative Agent and the Lenders, and grants to the Administrative Agent and the Lenders a security interest in, all such cash as security for such Obligations. Without limiting any right or remedy of the Administrative Agent in this Agreement, Administrative Agent may seek the appointment of a receiver, receiver-manager or keeper (a “</w:t>
      </w:r>
      <w:r>
        <w:rPr>
          <w:rFonts w:ascii="Arial" w:cs="Arial" w:eastAsia="Arial" w:hAnsi="Arial"/>
          <w:sz w:val="19"/>
          <w:szCs w:val="19"/>
          <w:b w:val="1"/>
          <w:bCs w:val="1"/>
          <w:color w:val="auto"/>
        </w:rPr>
        <w:t>Receiver</w:t>
      </w:r>
      <w:r>
        <w:rPr>
          <w:rFonts w:ascii="Arial" w:cs="Arial" w:eastAsia="Arial" w:hAnsi="Arial"/>
          <w:sz w:val="19"/>
          <w:szCs w:val="19"/>
          <w:color w:val="auto"/>
        </w:rPr>
        <w:t>”) under the laws of Canada or any Province or territory thereof to take possession of all or any portion of the Collateral of Loan Parties or to operate same and, to the maximum extent permitted by applicable Law, may seek the appointment of such a Receiver without the requirement of prior notice or a hearing. Any such Receiver shall, so far as concerns responsibility for his/her acts,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- 96 -</w:t>
      </w:r>
    </w:p>
    <w:p>
      <w:pPr>
        <w:sectPr>
          <w:pgSz w:w="11900" w:h="16838" w:orient="portrait"/>
          <w:cols w:equalWidth="0" w:num="1">
            <w:col w:w="11420"/>
          </w:cols>
          <w:pgMar w:left="240" w:top="1428" w:right="239" w:bottom="1440" w:gutter="0" w:footer="0" w:header="0"/>
        </w:sectPr>
      </w:pPr>
    </w:p>
    <w:bookmarkStart w:id="110" w:name="page111"/>
    <w:bookmarkEnd w:id="110"/>
    <w:p>
      <w:pPr>
        <w:jc w:val="both"/>
        <w:spacing w:after="0" w:line="286" w:lineRule="auto"/>
        <w:rPr>
          <w:sz w:val="20"/>
          <w:szCs w:val="20"/>
          <w:color w:val="auto"/>
        </w:rPr>
      </w:pPr>
      <w:r>
        <w:rPr>
          <w:rFonts w:ascii="Arial" w:cs="Arial" w:eastAsia="Arial" w:hAnsi="Arial"/>
          <w:sz w:val="19"/>
          <w:szCs w:val="19"/>
          <w:color w:val="auto"/>
        </w:rPr>
        <w:t>deemed the agent of Loan Parties and not Administrative Agent and the Lenders, and Administrative Agent and the Lenders shall not be in any way responsible for any misconduct, negligence or non-feasance on the part of any such Receiver, his/her servants or employees. Subject to the provisions of the instrument appointing him/her, any such Receiver shall have power to take possession of Collateral of the Loan Parties, to preserve Collateral of the Loan Parties or its value, to carry on or concur in carrying on all or any part of the business of the Loan Parties and to sell, lease, license or otherwise dispose of or concur in selling, leasing, licensing or otherwise disposing of Collateral of the Loan Parties. To facilitate the foregoing powers, any such Receiver may, to the exclusion of all others, including the Loan Parties, enter upon, use and occupy all premises owned or occupied by the Loan Parties wherein Collateral of the Loan Parties may be situated, maintain Collateral of the Loan Parties upon such premises, borrow money on a secured or unsecured basis and use Collateral of the Loan Parties directly in carrying on the Loan Parties’ business or as security for loans or advances to enable the Receiver to carry on the Loan Parties’ business or otherwise, as such Receiver shall, in its discretion, determine. Except as may be otherwise directed by Administrative Agent, all money received from time to time by such Receiver in carrying out his/her appointment shall be received in trust for and paid over to Administrative Agent. Every such Receiver may, in the discretion of Administrative Agent, be vested with all or any of the rights and powers of Administrative Agent and the Lenders. Administrative Agent may, either directly or through its nominees, exercise any or all powers and rights given to a Receiver by virtue of the foregoing provisions of this paragraph.</w:t>
      </w:r>
    </w:p>
    <w:p>
      <w:pPr>
        <w:spacing w:after="0" w:line="16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9.2.2 </w:t>
      </w:r>
      <w:r>
        <w:rPr>
          <w:rFonts w:ascii="Arial" w:cs="Arial" w:eastAsia="Arial" w:hAnsi="Arial"/>
          <w:sz w:val="21"/>
          <w:szCs w:val="21"/>
          <w:u w:val="single" w:color="auto"/>
          <w:color w:val="auto"/>
        </w:rPr>
        <w:t>Bankruptcy, Insolvency or Reorganization Proceedings</w:t>
      </w:r>
      <w:r>
        <w:rPr>
          <w:rFonts w:ascii="Arial" w:cs="Arial" w:eastAsia="Arial" w:hAnsi="Arial"/>
          <w:sz w:val="21"/>
          <w:szCs w:val="21"/>
          <w:color w:val="auto"/>
        </w:rPr>
        <w:t>. If an Event of Default specified under Section 9.1.11 [Relief Proceedings] shall occur, the Lenders shall be under no further obligations to make Loans hereunder and the Issuing Lender shall be under no obligation to issue Letters of Credit and the unpaid principal amount of the Loans then outstanding and all interest accrued thereon and any Unpaid Drawings, any unpaid fees and all other Indebtedness of the Borrowers to the Lenders hereunder and thereunder shall be immediately due and payable, without presentment, demand, protest or notice of any kind, all of which are hereby expressly waived, and the Borrowers shall immediately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Borrowers hereby pledges to the Administrative Agent and the Lenders, and grants to the Administrative Agent and the Lenders a security interest in, all such cash as security for such Obligations; and</w:t>
      </w:r>
    </w:p>
    <w:p>
      <w:pPr>
        <w:spacing w:after="0" w:line="18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9.2.3 </w:t>
      </w:r>
      <w:r>
        <w:rPr>
          <w:rFonts w:ascii="Arial" w:cs="Arial" w:eastAsia="Arial" w:hAnsi="Arial"/>
          <w:sz w:val="21"/>
          <w:szCs w:val="21"/>
          <w:u w:val="single" w:color="auto"/>
          <w:color w:val="auto"/>
        </w:rPr>
        <w:t>Set-off</w:t>
      </w:r>
      <w:r>
        <w:rPr>
          <w:rFonts w:ascii="Arial" w:cs="Arial" w:eastAsia="Arial" w:hAnsi="Arial"/>
          <w:sz w:val="21"/>
          <w:szCs w:val="21"/>
          <w:color w:val="auto"/>
        </w:rPr>
        <w:t>. If an Event of Default shall have occurred and be continuing, each Lender, the Issuing Lender, and each of their respective Affiliates and any participant of such Lender or Affiliate which has agreed in writing to be bound by the provisions of Section 5.3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- 97 -</w:t>
      </w:r>
    </w:p>
    <w:p>
      <w:pPr>
        <w:sectPr>
          <w:pgSz w:w="11900" w:h="16838" w:orient="portrait"/>
          <w:cols w:equalWidth="0" w:num="1">
            <w:col w:w="11420"/>
          </w:cols>
          <w:pgMar w:left="240" w:top="1428" w:right="23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21"/>
          <w:szCs w:val="21"/>
          <w:color w:val="auto"/>
        </w:rPr>
        <w:t>under this Agreement or any other Loan Document and although such Obligations of the Borrowers or such Loan Party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Borrowers and the Administrative Agent promptly after any such setoff and application; provided that the failure to give such notice shall not affect the validity of such setoff and application; and</w:t>
      </w:r>
    </w:p>
    <w:p>
      <w:pPr>
        <w:spacing w:after="0" w:line="18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9.2.4 </w:t>
      </w:r>
      <w:r>
        <w:rPr>
          <w:rFonts w:ascii="Arial" w:cs="Arial" w:eastAsia="Arial" w:hAnsi="Arial"/>
          <w:sz w:val="22"/>
          <w:szCs w:val="22"/>
          <w:u w:val="single" w:color="auto"/>
          <w:color w:val="auto"/>
        </w:rPr>
        <w:t>Application of Proceeds</w:t>
      </w:r>
      <w:r>
        <w:rPr>
          <w:rFonts w:ascii="Arial" w:cs="Arial" w:eastAsia="Arial" w:hAnsi="Arial"/>
          <w:sz w:val="22"/>
          <w:szCs w:val="22"/>
          <w:color w:val="auto"/>
        </w:rPr>
        <w:t>. From and after the date on which the Administrative Agent has taken any action pursuant to this Section 9.2.4 and until Payment in Full, any and all proceeds received by the Administrative Agent, the Issuing Lender or any other Lender shall, unless otherwise required by the terms of the other Loan Documents or by applicable law, be applied as follows:</w:t>
      </w:r>
    </w:p>
    <w:p>
      <w:pPr>
        <w:spacing w:after="0" w:line="188" w:lineRule="exact"/>
        <w:rPr>
          <w:sz w:val="20"/>
          <w:szCs w:val="20"/>
          <w:color w:val="auto"/>
        </w:rPr>
      </w:pPr>
    </w:p>
    <w:p>
      <w:pPr>
        <w:jc w:val="both"/>
        <w:ind w:firstLine="2155"/>
        <w:spacing w:after="0" w:line="265" w:lineRule="auto"/>
        <w:tabs>
          <w:tab w:leader="none" w:pos="2419"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payment of that portion of the Obligations constituting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payable to them;</w:t>
      </w:r>
    </w:p>
    <w:p>
      <w:pPr>
        <w:spacing w:after="0" w:line="175" w:lineRule="exact"/>
        <w:rPr>
          <w:rFonts w:ascii="Arial" w:cs="Arial" w:eastAsia="Arial" w:hAnsi="Arial"/>
          <w:sz w:val="21"/>
          <w:szCs w:val="21"/>
          <w:color w:val="auto"/>
        </w:rPr>
      </w:pPr>
    </w:p>
    <w:p>
      <w:pPr>
        <w:jc w:val="both"/>
        <w:ind w:firstLine="2155"/>
        <w:spacing w:after="0" w:line="271" w:lineRule="auto"/>
        <w:tabs>
          <w:tab w:leader="none" w:pos="2465"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payable to them;</w:t>
      </w:r>
    </w:p>
    <w:p>
      <w:pPr>
        <w:spacing w:after="0" w:line="167" w:lineRule="exact"/>
        <w:rPr>
          <w:rFonts w:ascii="Arial" w:cs="Arial" w:eastAsia="Arial" w:hAnsi="Arial"/>
          <w:sz w:val="21"/>
          <w:szCs w:val="21"/>
          <w:color w:val="auto"/>
        </w:rPr>
      </w:pPr>
    </w:p>
    <w:p>
      <w:pPr>
        <w:jc w:val="both"/>
        <w:ind w:firstLine="2155"/>
        <w:spacing w:after="0" w:line="253" w:lineRule="auto"/>
        <w:tabs>
          <w:tab w:leader="none" w:pos="253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interest on the Loans and Reimbursement Obligations, ratably among the Lenders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5" w:lineRule="exact"/>
        <w:rPr>
          <w:rFonts w:ascii="Arial" w:cs="Arial" w:eastAsia="Arial" w:hAnsi="Arial"/>
          <w:sz w:val="22"/>
          <w:szCs w:val="22"/>
          <w:color w:val="auto"/>
        </w:rPr>
      </w:pPr>
    </w:p>
    <w:p>
      <w:pPr>
        <w:jc w:val="both"/>
        <w:ind w:firstLine="2155"/>
        <w:spacing w:after="0" w:line="294" w:lineRule="auto"/>
        <w:tabs>
          <w:tab w:leader="none" w:pos="255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payment of that portion of the Obligations constituting unpaid principal of the Loans, Reimbursement Obligations and payment obligations then owing under Lender Provided Interest Rate Hedges, Lender Provided Foreign Currency Hedges, Lender Provided Commodity Hedges and Other Lender Provided Financial Service Products, ratably among the Lenders, the Issuing Lender, and the Lenders or Affiliates of Lenders which provide Lender Provided Interest Rate Hedges, Lender Provided Foreign Currency Hedges, Lender Provided Commodity Hedges and Other Lender Provided Financial Service Products, in proportion to the respective amounts described in this clause Fourth held by them;</w:t>
      </w:r>
    </w:p>
    <w:p>
      <w:pPr>
        <w:spacing w:after="0" w:line="149" w:lineRule="exact"/>
        <w:rPr>
          <w:rFonts w:ascii="Arial" w:cs="Arial" w:eastAsia="Arial" w:hAnsi="Arial"/>
          <w:sz w:val="19"/>
          <w:szCs w:val="19"/>
          <w:color w:val="auto"/>
        </w:rPr>
      </w:pPr>
    </w:p>
    <w:p>
      <w:pPr>
        <w:ind w:firstLine="2155"/>
        <w:spacing w:after="0" w:line="263" w:lineRule="auto"/>
        <w:tabs>
          <w:tab w:leader="none" w:pos="24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the Administrative Agent for the account of the Issuing Lender, to cash collateralize any undrawn amounts under outstanding Letters of Credit; and</w:t>
      </w:r>
    </w:p>
    <w:p>
      <w:pPr>
        <w:spacing w:after="0" w:line="174" w:lineRule="exact"/>
        <w:rPr>
          <w:rFonts w:ascii="Arial" w:cs="Arial" w:eastAsia="Arial" w:hAnsi="Arial"/>
          <w:sz w:val="22"/>
          <w:szCs w:val="22"/>
          <w:color w:val="auto"/>
        </w:rPr>
      </w:pPr>
    </w:p>
    <w:p>
      <w:pPr>
        <w:ind w:left="2520" w:hanging="365"/>
        <w:spacing w:after="0"/>
        <w:tabs>
          <w:tab w:leader="none" w:pos="25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to the Loan Parties or as required by Law.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600" w:hanging="120"/>
        <w:spacing w:after="0"/>
        <w:tabs>
          <w:tab w:leader="none" w:pos="56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98 -</w:t>
      </w:r>
    </w:p>
    <w:p>
      <w:pPr>
        <w:sectPr>
          <w:pgSz w:w="11900" w:h="16838" w:orient="portrait"/>
          <w:cols w:equalWidth="0" w:num="1">
            <w:col w:w="11420"/>
          </w:cols>
          <w:pgMar w:left="240" w:top="1428" w:right="2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22"/>
          <w:szCs w:val="22"/>
          <w:color w:val="auto"/>
        </w:rPr>
        <w:t>Notwithstanding anything to the contrary in this Section 9.2.4,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provided, however,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set forth above in this Section 9.2.4.</w:t>
      </w:r>
    </w:p>
    <w:p>
      <w:pPr>
        <w:spacing w:after="0" w:line="197" w:lineRule="exact"/>
        <w:rPr>
          <w:sz w:val="20"/>
          <w:szCs w:val="20"/>
          <w:color w:val="auto"/>
        </w:rPr>
      </w:pPr>
    </w:p>
    <w:p>
      <w:pPr>
        <w:ind w:left="4340" w:hanging="330"/>
        <w:spacing w:after="0"/>
        <w:tabs>
          <w:tab w:leader="none" w:pos="434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THE ADMINISTRATIVE AGENT</w:t>
      </w:r>
    </w:p>
    <w:p>
      <w:pPr>
        <w:spacing w:after="0" w:line="220" w:lineRule="exact"/>
        <w:rPr>
          <w:sz w:val="20"/>
          <w:szCs w:val="20"/>
          <w:color w:val="auto"/>
        </w:rPr>
      </w:pPr>
    </w:p>
    <w:p>
      <w:pPr>
        <w:ind w:left="80" w:right="40" w:firstLine="648"/>
        <w:spacing w:after="0" w:line="284"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xml:space="preserve"> 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10 are solely for the benefit of the Administrative Agent, the Lenders and the Issuing Lender, and neither the Borrowers nor any other Loan Party shall have rights as a third party beneficiary of any of such provisions. Without limiting the power of Administrative Agent hereunder or under any other Loan Document, Administrative Agent and each Lender hereby appoints and designates PNC as the hypothecary representative (within the meaning of Article 2692 of the Civil Code of Québec) of Administrative Agent and the Lenders for the purposes of holding any security granted by any Loan Party under the laws of the Province of Québec as security for any indebtedness or other obligations of any Loan Party hereunder or under any other Loan Document and, in such capacity, PNC shall hold any such security granted under the laws of the Province of Québec as hypothecary representative in the exercise of the rights conferred thereunder. The execution by PNC as hypothecary representative of any deeds of hypothec or other security granted by any Loan Party under the laws of the Province of Québec is hereby ratified and confirmed. Any Person who becomes Administrative Agent or a Lender shall be deemed to have ratified and confirmed the appointment of PNC as hypothecary representative. PNC, acting as hypothecary representative, shall have the same rights, powers, immunities, indemnities and exclusions from liability as are prescribed in favor of the Administrative Agent hereunder, which shall apply mutatis mutandis to PNC acting as hypothecary representative. In the event of the resignation of the Administrative Agent and appointment of a successor Administrative Agent, such successor Administrative Agent shall also constitute the successor hypothecary representative of the Administrative Agent and the Lenders for the purpose of holding the security referred to above, unless a successor hypothecary representative is otherwise appointed. Notwithstanding anything to the contrary in this Agreement, this provision shall be governed and construed in accordance with the laws of the Province of Québec.</w:t>
      </w:r>
    </w:p>
    <w:p>
      <w:pPr>
        <w:spacing w:after="0" w:line="175" w:lineRule="exact"/>
        <w:rPr>
          <w:sz w:val="20"/>
          <w:szCs w:val="20"/>
          <w:color w:val="auto"/>
        </w:rPr>
      </w:pPr>
    </w:p>
    <w:p>
      <w:pPr>
        <w:jc w:val="both"/>
        <w:ind w:left="80" w:firstLine="648"/>
        <w:spacing w:after="0" w:line="248"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- 99 -</w:t>
      </w:r>
    </w:p>
    <w:p>
      <w:pPr>
        <w:sectPr>
          <w:pgSz w:w="11900" w:h="16838" w:orient="portrait"/>
          <w:cols w:equalWidth="0" w:num="1">
            <w:col w:w="11420"/>
          </w:cols>
          <w:pgMar w:left="240" w:top="1428" w:right="239" w:bottom="1440" w:gutter="0" w:footer="0" w:header="0"/>
        </w:sectPr>
      </w:pPr>
    </w:p>
    <w:bookmarkStart w:id="113" w:name="page114"/>
    <w:bookmarkEnd w:id="113"/>
    <w:p>
      <w:pPr>
        <w:jc w:val="both"/>
        <w:ind w:left="80"/>
        <w:spacing w:after="0" w:line="253" w:lineRule="auto"/>
        <w:rPr>
          <w:sz w:val="20"/>
          <w:szCs w:val="20"/>
          <w:color w:val="auto"/>
        </w:rPr>
      </w:pPr>
      <w:r>
        <w:rPr>
          <w:rFonts w:ascii="Arial" w:cs="Arial" w:eastAsia="Arial" w:hAnsi="Arial"/>
          <w:sz w:val="22"/>
          <w:szCs w:val="22"/>
          <w:color w:val="auto"/>
        </w:rPr>
        <w:t>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6" w:lineRule="exact"/>
        <w:rPr>
          <w:sz w:val="20"/>
          <w:szCs w:val="20"/>
          <w:color w:val="auto"/>
        </w:rPr>
      </w:pPr>
    </w:p>
    <w:p>
      <w:pPr>
        <w:jc w:val="both"/>
        <w:ind w:left="80" w:right="20" w:firstLine="648"/>
        <w:spacing w:after="0" w:line="34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xml:space="preserve"> The Administrative Agent shall not have any duties or obligations except those expressly set forth herein and in the other Loan Documents. Without limiting the generality of the foregoing, the Administrative Agent:</w:t>
      </w:r>
    </w:p>
    <w:p>
      <w:pPr>
        <w:spacing w:after="0" w:line="105" w:lineRule="exact"/>
        <w:rPr>
          <w:sz w:val="20"/>
          <w:szCs w:val="20"/>
          <w:color w:val="auto"/>
        </w:rPr>
      </w:pPr>
    </w:p>
    <w:p>
      <w:pPr>
        <w:ind w:right="20" w:firstLine="2601"/>
        <w:spacing w:after="0" w:line="263" w:lineRule="auto"/>
        <w:tabs>
          <w:tab w:leader="none" w:pos="2914" w:val="left"/>
        </w:tabs>
        <w:numPr>
          <w:ilvl w:val="0"/>
          <w:numId w:val="88"/>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Potential Default or Event of Default has occurred and is continuing;</w:t>
      </w:r>
    </w:p>
    <w:p>
      <w:pPr>
        <w:spacing w:after="0" w:line="174" w:lineRule="exact"/>
        <w:rPr>
          <w:rFonts w:ascii="Arial" w:cs="Arial" w:eastAsia="Arial" w:hAnsi="Arial"/>
          <w:sz w:val="22"/>
          <w:szCs w:val="22"/>
          <w:color w:val="auto"/>
        </w:rPr>
      </w:pPr>
    </w:p>
    <w:p>
      <w:pPr>
        <w:jc w:val="both"/>
        <w:ind w:firstLine="2601"/>
        <w:spacing w:after="0" w:line="247" w:lineRule="auto"/>
        <w:tabs>
          <w:tab w:leader="none" w:pos="2926"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93" w:lineRule="exact"/>
        <w:rPr>
          <w:rFonts w:ascii="Arial" w:cs="Arial" w:eastAsia="Arial" w:hAnsi="Arial"/>
          <w:sz w:val="22"/>
          <w:szCs w:val="22"/>
          <w:color w:val="auto"/>
        </w:rPr>
      </w:pPr>
    </w:p>
    <w:p>
      <w:pPr>
        <w:jc w:val="both"/>
        <w:ind w:firstLine="2601"/>
        <w:spacing w:after="0" w:line="312" w:lineRule="auto"/>
        <w:tabs>
          <w:tab w:leader="none" w:pos="2887" w:val="left"/>
        </w:tabs>
        <w:numPr>
          <w:ilvl w:val="0"/>
          <w:numId w:val="88"/>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12.1 [Modifications, Amendments or Waivers] and 9.1.12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Borrowers, a Lender or the Issuing Lender.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Article 7 [Conditions of Lending and Issuance of Letters of Credit] or elsewhere herein, other than to confirm receipt of items expressly required to be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- 100 -</w:t>
      </w:r>
    </w:p>
    <w:p>
      <w:pPr>
        <w:sectPr>
          <w:pgSz w:w="11900" w:h="16838" w:orient="portrait"/>
          <w:cols w:equalWidth="0" w:num="1">
            <w:col w:w="11420"/>
          </w:cols>
          <w:pgMar w:left="240" w:top="1428" w:right="239" w:bottom="1440" w:gutter="0" w:footer="0" w:header="0"/>
        </w:sectPr>
      </w:pPr>
    </w:p>
    <w:bookmarkStart w:id="114" w:name="page115"/>
    <w:bookmarkEnd w:id="114"/>
    <w:p>
      <w:pPr>
        <w:jc w:val="both"/>
        <w:ind w:firstLine="648"/>
        <w:spacing w:after="0" w:line="258"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Reliance by Administrative Agent.</w:t>
      </w:r>
      <w:r>
        <w:rPr>
          <w:rFonts w:ascii="Arial" w:cs="Arial" w:eastAsia="Arial" w:hAnsi="Arial"/>
          <w:sz w:val="21"/>
          <w:szCs w:val="21"/>
          <w:color w:val="auto"/>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80"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xml:space="preserve"> The Administrative Agent may perform any and all of its duties and exercise its rights and powers hereunder or under any other Loan Document by or through any one or more sub</w:t>
      </w:r>
      <w:r>
        <w:rPr>
          <w:rFonts w:ascii="MS PGothic" w:cs="MS PGothic" w:eastAsia="MS PGothic" w:hAnsi="MS PGothic"/>
          <w:sz w:val="19"/>
          <w:szCs w:val="19"/>
          <w:color w:val="auto"/>
        </w:rPr>
        <w:t>‑</w:t>
      </w:r>
      <w:r>
        <w:rPr>
          <w:rFonts w:ascii="Arial" w:cs="Arial" w:eastAsia="Arial" w:hAnsi="Arial"/>
          <w:sz w:val="19"/>
          <w:szCs w:val="19"/>
          <w:color w:val="auto"/>
        </w:rPr>
        <w:t>agents appointed by the Administrative Agent.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may perform any and all of its duties and exercise its rights and powers by or through their respective Related Parties. The exculpatory provisions of this Article 10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xml:space="preserve"> The Administrative Agent may at any time give notice of its resignation to the Lenders, the Issuing Lender and the Borrowers. Upon receipt of any such notice of resignation, the Required Lenders shall have the right, with approval from the Borrowers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 appoint a successor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Borrowers and the Lenders that no qualifying Person has accepted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held by the Administrative Agent on behalf of the Lenders or the Issuing Lender under any of the Loan Documents, the retiring Administrative Agent shall continue to hold such Collateral until such time as a successor Administrative Agent is appointed) and (ii)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10.6 [Resignation of Administrative Agent].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- 101 -</w:t>
      </w:r>
    </w:p>
    <w:p>
      <w:pPr>
        <w:sectPr>
          <w:pgSz w:w="11900" w:h="16838" w:orient="portrait"/>
          <w:cols w:equalWidth="0" w:num="1">
            <w:col w:w="11340"/>
          </w:cols>
          <w:pgMar w:left="320" w:top="1428" w:right="239" w:bottom="1440" w:gutter="0" w:footer="0" w:header="0"/>
        </w:sectPr>
      </w:pPr>
    </w:p>
    <w:bookmarkStart w:id="115" w:name="page116"/>
    <w:bookmarkEnd w:id="115"/>
    <w:p>
      <w:pPr>
        <w:jc w:val="both"/>
        <w:ind w:left="80"/>
        <w:spacing w:after="0" w:line="259" w:lineRule="exact"/>
        <w:rPr>
          <w:sz w:val="20"/>
          <w:szCs w:val="20"/>
          <w:color w:val="auto"/>
        </w:rPr>
      </w:pPr>
      <w:r>
        <w:rPr>
          <w:rFonts w:ascii="Arial" w:cs="Arial" w:eastAsia="Arial" w:hAnsi="Arial"/>
          <w:sz w:val="19"/>
          <w:szCs w:val="19"/>
          <w:color w:val="auto"/>
        </w:rPr>
        <w:t>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10 and Section 12.3 [Expenses; Indemnity; Damage Waiver] shall continue in effect for the benefit of such retiring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while the retiring Administrative Agent was acting as Administrative Agent.</w:t>
      </w:r>
    </w:p>
    <w:p>
      <w:pPr>
        <w:spacing w:after="0" w:line="1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PNC resigns as Administrative Agent under this Section 10.6,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50" w:lineRule="exact"/>
        <w:rPr>
          <w:sz w:val="20"/>
          <w:szCs w:val="20"/>
          <w:color w:val="auto"/>
        </w:rPr>
      </w:pPr>
    </w:p>
    <w:p>
      <w:pPr>
        <w:jc w:val="both"/>
        <w:ind w:left="80" w:firstLine="648"/>
        <w:spacing w:after="0" w:line="292"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xml:space="preserve">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1" w:lineRule="exact"/>
        <w:rPr>
          <w:sz w:val="20"/>
          <w:szCs w:val="20"/>
          <w:color w:val="auto"/>
        </w:rPr>
      </w:pPr>
    </w:p>
    <w:p>
      <w:pPr>
        <w:jc w:val="both"/>
        <w:ind w:left="80" w:firstLine="648"/>
        <w:spacing w:after="0" w:line="250"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No Other Duties, etc.</w:t>
      </w:r>
      <w:r>
        <w:rPr>
          <w:rFonts w:ascii="Arial" w:cs="Arial" w:eastAsia="Arial" w:hAnsi="Arial"/>
          <w:sz w:val="22"/>
          <w:szCs w:val="22"/>
          <w:color w:val="auto"/>
        </w:rPr>
        <w:t xml:space="preserve"> Anything herein to the contrary notwithstanding, none of the Lenders, Co-Syndication Agents, Arrangers or other parties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188"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Administrative Agent's Fee.</w:t>
      </w:r>
      <w:r>
        <w:rPr>
          <w:rFonts w:ascii="Arial" w:cs="Arial" w:eastAsia="Arial" w:hAnsi="Arial"/>
          <w:sz w:val="22"/>
          <w:szCs w:val="22"/>
          <w:color w:val="auto"/>
        </w:rPr>
        <w:t xml:space="preserve"> The Borrowers shall pay to the Administrative Agent a nonrefundable fee (the "</w:t>
      </w:r>
      <w:r>
        <w:rPr>
          <w:rFonts w:ascii="Arial" w:cs="Arial" w:eastAsia="Arial" w:hAnsi="Arial"/>
          <w:sz w:val="22"/>
          <w:szCs w:val="22"/>
          <w:b w:val="1"/>
          <w:bCs w:val="1"/>
          <w:color w:val="auto"/>
        </w:rPr>
        <w:t>Administrative Agent's Fee</w:t>
      </w:r>
      <w:r>
        <w:rPr>
          <w:rFonts w:ascii="Arial" w:cs="Arial" w:eastAsia="Arial" w:hAnsi="Arial"/>
          <w:sz w:val="22"/>
          <w:szCs w:val="22"/>
          <w:color w:val="auto"/>
        </w:rPr>
        <w:t>") under the terms of a letter (the "</w:t>
      </w:r>
      <w:r>
        <w:rPr>
          <w:rFonts w:ascii="Arial" w:cs="Arial" w:eastAsia="Arial" w:hAnsi="Arial"/>
          <w:sz w:val="22"/>
          <w:szCs w:val="22"/>
          <w:b w:val="1"/>
          <w:bCs w:val="1"/>
          <w:color w:val="auto"/>
        </w:rPr>
        <w:t>Administrative Agent's Letter</w:t>
      </w:r>
      <w:r>
        <w:rPr>
          <w:rFonts w:ascii="Arial" w:cs="Arial" w:eastAsia="Arial" w:hAnsi="Arial"/>
          <w:sz w:val="22"/>
          <w:szCs w:val="22"/>
          <w:color w:val="auto"/>
        </w:rPr>
        <w:t>") between the Borrowers and Administrative Agent, as amended from time to time.</w:t>
      </w:r>
    </w:p>
    <w:p>
      <w:pPr>
        <w:spacing w:after="0" w:line="186" w:lineRule="exact"/>
        <w:rPr>
          <w:sz w:val="20"/>
          <w:szCs w:val="20"/>
          <w:color w:val="auto"/>
        </w:rPr>
      </w:pPr>
    </w:p>
    <w:p>
      <w:pPr>
        <w:jc w:val="both"/>
        <w:ind w:left="80" w:firstLine="648"/>
        <w:spacing w:after="0" w:line="265"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No Reliance on Administrative Agent's Customer Identification Program.</w:t>
      </w:r>
      <w:r>
        <w:rPr>
          <w:rFonts w:ascii="Arial" w:cs="Arial" w:eastAsia="Arial" w:hAnsi="Arial"/>
          <w:sz w:val="21"/>
          <w:szCs w:val="21"/>
          <w:color w:val="auto"/>
        </w:rPr>
        <w:t xml:space="preserve">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- 102 -</w:t>
      </w:r>
    </w:p>
    <w:p>
      <w:pPr>
        <w:sectPr>
          <w:pgSz w:w="11900" w:h="16838" w:orient="portrait"/>
          <w:cols w:equalWidth="0" w:num="1">
            <w:col w:w="11420"/>
          </w:cols>
          <w:pgMar w:left="240" w:top="1428" w:right="239" w:bottom="1440" w:gutter="0" w:footer="0" w:header="0"/>
        </w:sectPr>
      </w:pPr>
    </w:p>
    <w:bookmarkStart w:id="116" w:name="page117"/>
    <w:bookmarkEnd w:id="116"/>
    <w:p>
      <w:pPr>
        <w:jc w:val="both"/>
        <w:ind w:left="80"/>
        <w:spacing w:after="0" w:line="287" w:lineRule="auto"/>
        <w:rPr>
          <w:sz w:val="20"/>
          <w:szCs w:val="20"/>
          <w:color w:val="auto"/>
        </w:rPr>
      </w:pPr>
      <w:r>
        <w:rPr>
          <w:rFonts w:ascii="Arial" w:cs="Arial" w:eastAsia="Arial" w:hAnsi="Arial"/>
          <w:sz w:val="19"/>
          <w:szCs w:val="19"/>
          <w:color w:val="auto"/>
        </w:rPr>
        <w:t>the regulations contained in 31 CFR 103.121 (as hereafter amended or replaced, the "</w:t>
      </w:r>
      <w:r>
        <w:rPr>
          <w:rFonts w:ascii="Arial" w:cs="Arial" w:eastAsia="Arial" w:hAnsi="Arial"/>
          <w:sz w:val="19"/>
          <w:szCs w:val="19"/>
          <w:b w:val="1"/>
          <w:bCs w:val="1"/>
          <w:color w:val="auto"/>
        </w:rPr>
        <w:t>CIP Regulations</w:t>
      </w:r>
      <w:r>
        <w:rPr>
          <w:rFonts w:ascii="Arial" w:cs="Arial" w:eastAsia="Arial" w:hAnsi="Arial"/>
          <w:sz w:val="19"/>
          <w:szCs w:val="19"/>
          <w:color w:val="auto"/>
        </w:rPr>
        <w:t>"), or any other Anti-Terrorism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 Each Loan party acknowledges that, pursuant to the Proceeds of Crime (Money Laundering) and Terrorist Financing Act (Canada) and other applicable anti-money laundering, anti-terrorist financing, government sanction and “know your client” laws, whether within Canada or elsewhere (collectively, including any guidelines or orders thereunder, “</w:t>
      </w:r>
      <w:r>
        <w:rPr>
          <w:rFonts w:ascii="Arial" w:cs="Arial" w:eastAsia="Arial" w:hAnsi="Arial"/>
          <w:sz w:val="19"/>
          <w:szCs w:val="19"/>
          <w:b w:val="1"/>
          <w:bCs w:val="1"/>
          <w:color w:val="auto"/>
        </w:rPr>
        <w:t>AML Legislation</w:t>
      </w:r>
      <w:r>
        <w:rPr>
          <w:rFonts w:ascii="Arial" w:cs="Arial" w:eastAsia="Arial" w:hAnsi="Arial"/>
          <w:sz w:val="19"/>
          <w:szCs w:val="19"/>
          <w:color w:val="auto"/>
        </w:rPr>
        <w:t>”), the Lenders and Administrative Agent may be required to obtain, verify and record information regarding each Borrower and Guarantor, their respective directors, authorized signing officers, direct or indirect shareholders or other Persons in control of such Borrowers and Guarantors, and the transactions contemplated hereby. Borrowers shall promptly provide all such information, including supporting documentation and other evidence, as may be reasonably requested by any Lender or Administrative Agent, or any prospective assign or participant of a Lender or Administrative Agent, in order to comply with any applicable AML Legislation, whether now or hereafter in existence.</w:t>
      </w:r>
    </w:p>
    <w:p>
      <w:pPr>
        <w:spacing w:after="0" w:line="161" w:lineRule="exact"/>
        <w:rPr>
          <w:sz w:val="20"/>
          <w:szCs w:val="20"/>
          <w:color w:val="auto"/>
        </w:rPr>
      </w:pPr>
    </w:p>
    <w:p>
      <w:pPr>
        <w:ind w:firstLine="1378"/>
        <w:spacing w:after="0" w:line="263" w:lineRule="auto"/>
        <w:rPr>
          <w:sz w:val="20"/>
          <w:szCs w:val="20"/>
          <w:color w:val="auto"/>
        </w:rPr>
      </w:pPr>
      <w:r>
        <w:rPr>
          <w:rFonts w:ascii="Arial" w:cs="Arial" w:eastAsia="Arial" w:hAnsi="Arial"/>
          <w:sz w:val="22"/>
          <w:szCs w:val="22"/>
          <w:color w:val="auto"/>
        </w:rPr>
        <w:t>If Administrative Agent has ascertained the identity of the Borrowers or Guarantors or any authorized signatories of such Persons for the purposes of applicable AML Legislation, then the Agent:</w:t>
      </w:r>
    </w:p>
    <w:p>
      <w:pPr>
        <w:spacing w:after="0" w:line="175" w:lineRule="exact"/>
        <w:rPr>
          <w:sz w:val="20"/>
          <w:szCs w:val="20"/>
          <w:color w:val="auto"/>
        </w:rPr>
      </w:pPr>
    </w:p>
    <w:p>
      <w:pPr>
        <w:jc w:val="both"/>
        <w:ind w:firstLine="1386"/>
        <w:spacing w:after="0" w:line="253" w:lineRule="auto"/>
        <w:tabs>
          <w:tab w:leader="none" w:pos="1662" w:val="left"/>
        </w:tabs>
        <w:numPr>
          <w:ilvl w:val="1"/>
          <w:numId w:val="89"/>
        </w:numPr>
        <w:rPr>
          <w:rFonts w:ascii="Arial" w:cs="Arial" w:eastAsia="Arial" w:hAnsi="Arial"/>
          <w:sz w:val="22"/>
          <w:szCs w:val="22"/>
          <w:color w:val="auto"/>
        </w:rPr>
      </w:pPr>
      <w:r>
        <w:rPr>
          <w:rFonts w:ascii="Arial" w:cs="Arial" w:eastAsia="Arial" w:hAnsi="Arial"/>
          <w:sz w:val="22"/>
          <w:szCs w:val="22"/>
          <w:color w:val="auto"/>
        </w:rPr>
        <w:t>shall be not deemed to have done so as an agent for each Lender, and this Agreement shall not constitute a “written agreement” in such regard between each Lender and the Administrative Agent within the meaning of applicable AML Legislation; and</w:t>
      </w:r>
    </w:p>
    <w:p>
      <w:pPr>
        <w:spacing w:after="0" w:line="185" w:lineRule="exact"/>
        <w:rPr>
          <w:rFonts w:ascii="Arial" w:cs="Arial" w:eastAsia="Arial" w:hAnsi="Arial"/>
          <w:sz w:val="22"/>
          <w:szCs w:val="22"/>
          <w:color w:val="auto"/>
        </w:rPr>
      </w:pPr>
    </w:p>
    <w:p>
      <w:pPr>
        <w:ind w:right="20" w:firstLine="1305"/>
        <w:spacing w:after="0" w:line="263" w:lineRule="auto"/>
        <w:tabs>
          <w:tab w:leader="none" w:pos="16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shall provide to each Lender copies of all information obtained in such regard without any representation or warranty as to its accuracy or completeness.</w:t>
      </w:r>
    </w:p>
    <w:p>
      <w:pPr>
        <w:spacing w:after="0" w:line="175" w:lineRule="exact"/>
        <w:rPr>
          <w:sz w:val="20"/>
          <w:szCs w:val="20"/>
          <w:color w:val="auto"/>
        </w:rPr>
      </w:pPr>
    </w:p>
    <w:p>
      <w:pPr>
        <w:jc w:val="both"/>
        <w:ind w:left="80" w:firstLine="648"/>
        <w:spacing w:after="0" w:line="248"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Authorization to Release Collateral and Guarantors</w:t>
      </w:r>
      <w:r>
        <w:rPr>
          <w:rFonts w:ascii="Arial" w:cs="Arial" w:eastAsia="Arial" w:hAnsi="Arial"/>
          <w:sz w:val="22"/>
          <w:szCs w:val="22"/>
          <w:color w:val="auto"/>
        </w:rPr>
        <w:t>. The Lenders and Issuing Lenders authorize the Administrative Agent to release (i) any Collateral consisting of assets or equity interests sold or otherwise disposed of in a sale or other disposition or transfer permitted under Section 8.2.7 [Dispositions of Assets or Subsidiaries], and (ii) any Guarantor from its obligations under the Guaranty Agreement if the ownership interests in such a Loan Party change in a transaction permitted hereunder.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Plan Assets</w:t>
      </w:r>
      <w:r>
        <w:rPr>
          <w:rFonts w:ascii="Arial" w:cs="Arial" w:eastAsia="Arial" w:hAnsi="Arial"/>
          <w:sz w:val="22"/>
          <w:szCs w:val="22"/>
          <w:color w:val="auto"/>
        </w:rPr>
        <w:t>.</w:t>
      </w:r>
    </w:p>
    <w:p>
      <w:pPr>
        <w:spacing w:after="0" w:line="220" w:lineRule="exact"/>
        <w:rPr>
          <w:sz w:val="20"/>
          <w:szCs w:val="20"/>
          <w:color w:val="auto"/>
        </w:rPr>
      </w:pPr>
    </w:p>
    <w:p>
      <w:pPr>
        <w:jc w:val="both"/>
        <w:ind w:firstLine="1305"/>
        <w:spacing w:after="0" w:line="265" w:lineRule="auto"/>
        <w:tabs>
          <w:tab w:leader="none" w:pos="1671" w:val="left"/>
        </w:tabs>
        <w:numPr>
          <w:ilvl w:val="0"/>
          <w:numId w:val="91"/>
        </w:numPr>
        <w:rPr>
          <w:rFonts w:ascii="Arial" w:cs="Arial" w:eastAsia="Arial" w:hAnsi="Arial"/>
          <w:sz w:val="21"/>
          <w:szCs w:val="21"/>
          <w:color w:val="auto"/>
        </w:rPr>
      </w:pPr>
      <w:r>
        <w:rPr>
          <w:rFonts w:ascii="Arial" w:cs="Arial" w:eastAsia="Arial" w:hAnsi="Arial"/>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of the other Loan Parties, that at least one of the following is and will be true:</w:t>
      </w:r>
    </w:p>
    <w:p>
      <w:pPr>
        <w:spacing w:after="0" w:line="175" w:lineRule="exact"/>
        <w:rPr>
          <w:rFonts w:ascii="Arial" w:cs="Arial" w:eastAsia="Arial" w:hAnsi="Arial"/>
          <w:sz w:val="21"/>
          <w:szCs w:val="21"/>
          <w:color w:val="auto"/>
        </w:rPr>
      </w:pPr>
    </w:p>
    <w:p>
      <w:pPr>
        <w:ind w:right="20" w:firstLine="1953"/>
        <w:spacing w:after="0" w:line="263" w:lineRule="auto"/>
        <w:tabs>
          <w:tab w:leader="none" w:pos="2284" w:val="left"/>
        </w:tabs>
        <w:numPr>
          <w:ilvl w:val="1"/>
          <w:numId w:val="91"/>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5560" w:hanging="134"/>
        <w:spacing w:after="0"/>
        <w:tabs>
          <w:tab w:leader="none" w:pos="5560" w:val="left"/>
        </w:tabs>
        <w:numPr>
          <w:ilvl w:val="2"/>
          <w:numId w:val="91"/>
        </w:numPr>
        <w:rPr>
          <w:rFonts w:ascii="Arial" w:cs="Arial" w:eastAsia="Arial" w:hAnsi="Arial"/>
          <w:sz w:val="22"/>
          <w:szCs w:val="22"/>
          <w:color w:val="auto"/>
        </w:rPr>
      </w:pPr>
      <w:r>
        <w:rPr>
          <w:rFonts w:ascii="Arial" w:cs="Arial" w:eastAsia="Arial" w:hAnsi="Arial"/>
          <w:sz w:val="22"/>
          <w:szCs w:val="22"/>
          <w:color w:val="auto"/>
        </w:rPr>
        <w:t>103 -</w:t>
      </w:r>
    </w:p>
    <w:p>
      <w:pPr>
        <w:sectPr>
          <w:pgSz w:w="11900" w:h="16838" w:orient="portrait"/>
          <w:cols w:equalWidth="0" w:num="1">
            <w:col w:w="11420"/>
          </w:cols>
          <w:pgMar w:left="240" w:top="1422" w:right="23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22"/>
          <w:szCs w:val="22"/>
          <w:color w:val="auto"/>
        </w:rPr>
        <w:t>entrance into, participation in, administration of and performance of the Loans, the Letters of Credit, the Commitments or this Agreement,</w:t>
      </w:r>
    </w:p>
    <w:p>
      <w:pPr>
        <w:spacing w:after="0" w:line="175" w:lineRule="exact"/>
        <w:rPr>
          <w:sz w:val="20"/>
          <w:szCs w:val="20"/>
          <w:color w:val="auto"/>
        </w:rPr>
      </w:pPr>
    </w:p>
    <w:p>
      <w:pPr>
        <w:jc w:val="both"/>
        <w:ind w:firstLine="1953"/>
        <w:spacing w:after="0" w:line="260" w:lineRule="auto"/>
        <w:tabs>
          <w:tab w:leader="none" w:pos="2371"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1" w:lineRule="exact"/>
        <w:rPr>
          <w:rFonts w:ascii="Arial" w:cs="Arial" w:eastAsia="Arial" w:hAnsi="Arial"/>
          <w:sz w:val="21"/>
          <w:szCs w:val="21"/>
          <w:color w:val="auto"/>
        </w:rPr>
      </w:pPr>
    </w:p>
    <w:p>
      <w:pPr>
        <w:jc w:val="both"/>
        <w:ind w:firstLine="1953"/>
        <w:spacing w:after="0" w:line="246" w:lineRule="auto"/>
        <w:tabs>
          <w:tab w:leader="none" w:pos="2336"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22"/>
          <w:szCs w:val="22"/>
          <w:color w:val="auto"/>
        </w:rPr>
      </w:pPr>
    </w:p>
    <w:p>
      <w:pPr>
        <w:ind w:firstLine="1953"/>
        <w:spacing w:after="0" w:line="263" w:lineRule="auto"/>
        <w:tabs>
          <w:tab w:leader="none" w:pos="2527" w:val="left"/>
        </w:tabs>
        <w:numPr>
          <w:ilvl w:val="1"/>
          <w:numId w:val="92"/>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firstLine="1305"/>
        <w:spacing w:after="0" w:line="289" w:lineRule="auto"/>
        <w:tabs>
          <w:tab w:leader="none" w:pos="1711"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of the Borrowers or any of the other Loan Parties,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[RESERVED]</w:t>
      </w:r>
    </w:p>
    <w:p>
      <w:pPr>
        <w:spacing w:after="0" w:line="220" w:lineRule="exact"/>
        <w:rPr>
          <w:sz w:val="20"/>
          <w:szCs w:val="20"/>
          <w:color w:val="auto"/>
        </w:rPr>
      </w:pPr>
    </w:p>
    <w:p>
      <w:pPr>
        <w:ind w:left="4980" w:hanging="328"/>
        <w:spacing w:after="0"/>
        <w:tabs>
          <w:tab w:leader="none" w:pos="49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Modifications, Amendments or Waivers.</w:t>
      </w:r>
      <w:r>
        <w:rPr>
          <w:rFonts w:ascii="Arial" w:cs="Arial" w:eastAsia="Arial" w:hAnsi="Arial"/>
          <w:sz w:val="21"/>
          <w:szCs w:val="21"/>
          <w:color w:val="auto"/>
        </w:rPr>
        <w:t xml:space="preserve"> With the written consent of the Required Lenders, the Administrative Agent, acting on behalf of all the Lenders, and the Company, on behalf of the Loan Parties, may from time to time enter into written agreements amending or changing any provision of this Agreement or any other Loan Document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- 104 -</w:t>
      </w:r>
    </w:p>
    <w:p>
      <w:pPr>
        <w:sectPr>
          <w:pgSz w:w="11900" w:h="16838" w:orient="portrait"/>
          <w:cols w:equalWidth="0" w:num="1">
            <w:col w:w="11420"/>
          </w:cols>
          <w:pgMar w:left="240" w:top="1428" w:right="239" w:bottom="1440" w:gutter="0" w:footer="0" w:header="0"/>
        </w:sectPr>
      </w:pPr>
    </w:p>
    <w:bookmarkStart w:id="118" w:name="page119"/>
    <w:bookmarkEnd w:id="118"/>
    <w:p>
      <w:pPr>
        <w:jc w:val="both"/>
        <w:ind w:left="80"/>
        <w:spacing w:after="0" w:line="271" w:lineRule="auto"/>
        <w:rPr>
          <w:sz w:val="20"/>
          <w:szCs w:val="20"/>
          <w:color w:val="auto"/>
        </w:rPr>
      </w:pPr>
      <w:r>
        <w:rPr>
          <w:rFonts w:ascii="Arial" w:cs="Arial" w:eastAsia="Arial" w:hAnsi="Arial"/>
          <w:sz w:val="21"/>
          <w:szCs w:val="21"/>
          <w:color w:val="auto"/>
        </w:rPr>
        <w:t xml:space="preserve">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Arial" w:cs="Arial" w:eastAsia="Arial" w:hAnsi="Arial"/>
          <w:sz w:val="21"/>
          <w:szCs w:val="21"/>
          <w:u w:val="single" w:color="auto"/>
          <w:color w:val="auto"/>
        </w:rPr>
        <w:t>provided</w:t>
      </w:r>
      <w:r>
        <w:rPr>
          <w:rFonts w:ascii="Arial" w:cs="Arial" w:eastAsia="Arial" w:hAnsi="Arial"/>
          <w:sz w:val="21"/>
          <w:szCs w:val="21"/>
          <w:color w:val="auto"/>
        </w:rPr>
        <w:t>, that no such agreement, waiver or consent may be made which will:</w:t>
      </w:r>
    </w:p>
    <w:p>
      <w:pPr>
        <w:spacing w:after="0" w:line="168"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Increase of Commitment</w:t>
      </w:r>
      <w:r>
        <w:rPr>
          <w:rFonts w:ascii="Arial" w:cs="Arial" w:eastAsia="Arial" w:hAnsi="Arial"/>
          <w:sz w:val="19"/>
          <w:szCs w:val="19"/>
          <w:color w:val="auto"/>
        </w:rPr>
        <w:t>. Subject to Section 12.16 [Increase in Commitments], increase the amount of the Revolving Credit Commitment or Term Loan Commitment of any Lender hereunder without the consent of such Lender;</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Extension of Payment; Reduction of Principal Interest or Fees; Modification of Terms of Payment</w:t>
      </w:r>
      <w:r>
        <w:rPr>
          <w:rFonts w:ascii="Arial" w:cs="Arial" w:eastAsia="Arial" w:hAnsi="Arial"/>
          <w:sz w:val="21"/>
          <w:szCs w:val="21"/>
          <w:color w:val="auto"/>
        </w:rPr>
        <w:t>. Whether or not any Loans are outstanding, extend the Expiration Date or the Maturity Date or the time for payment of principal or interest of any Loan (excluding the due date of any mandatory prepayment of a Loan), the Commitment Fee or any other fee payable to any Lender, or reduce the principal amount of or the rate of interest borne by any Loan or reduce the Commitment Fee or any other fee payable to any Lender, without the consent of each Lender directly affected thereby;</w:t>
      </w:r>
    </w:p>
    <w:p>
      <w:pPr>
        <w:spacing w:after="0" w:line="17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12.1.3 </w:t>
      </w:r>
      <w:r>
        <w:rPr>
          <w:rFonts w:ascii="Arial" w:cs="Arial" w:eastAsia="Arial" w:hAnsi="Arial"/>
          <w:sz w:val="19"/>
          <w:szCs w:val="19"/>
          <w:u w:val="single" w:color="auto"/>
          <w:color w:val="auto"/>
        </w:rPr>
        <w:t>Release of Collateral or Guarantor</w:t>
      </w:r>
      <w:r>
        <w:rPr>
          <w:rFonts w:ascii="Arial" w:cs="Arial" w:eastAsia="Arial" w:hAnsi="Arial"/>
          <w:sz w:val="19"/>
          <w:szCs w:val="19"/>
          <w:color w:val="auto"/>
        </w:rPr>
        <w:t>.12.1.4 Except for sales of assets permitted by Section 8.2.7 [Disposition of Assets or Subsidiaries], release all or substantially all of the Collateral or release any Guarantor from its Obligations under the Guaranty Agreement, in each case without the consent of all Lenders (other than Defaulting Lenders); or</w:t>
      </w:r>
    </w:p>
    <w:p>
      <w:pPr>
        <w:spacing w:after="0" w:line="134"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12.1.4 </w:t>
      </w: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Amend the definition of "Optional Currency" or Section 2.9.5 [Requests for Additional Optional Currencies], Section 5.2 [Pro Rata Treatment of Lenders], 10.3 [Exculpatory Provisions, Etc.] or Section 5.3 [Sharing of Payments by Lenders] or this Section 12.1, alter any provision regarding the pro rata treatment of the Lenders or requiring all Lenders to authorize the taking of any action or reduce any percentage specified in the definition of Required Lenders, in each case without the consent of all of the Lenders (other than Defaulting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agreement, waiver or consent which would modify the interests, rights or obligations of the Administrative Agent, the Swing Loan Lender or the Issuing Lender may be made without the written consent of such Administrative Agent, Swing Loan Lender or Issuing Lender, as applicable,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in connection with any proposed waiver, amendment or modification referred to in Sections 12.1.1 through 12.1.4 above, the consent of the Required Lenders is obtained but the consent of one or more of such other Lenders whose consent is required is not obtained (each a "</w:t>
      </w:r>
      <w:r>
        <w:rPr>
          <w:rFonts w:ascii="Arial" w:cs="Arial" w:eastAsia="Arial" w:hAnsi="Arial"/>
          <w:sz w:val="19"/>
          <w:szCs w:val="19"/>
          <w:b w:val="1"/>
          <w:bCs w:val="1"/>
          <w:color w:val="auto"/>
        </w:rPr>
        <w:t>Non-Consenting Lender</w:t>
      </w:r>
      <w:r>
        <w:rPr>
          <w:rFonts w:ascii="Arial" w:cs="Arial" w:eastAsia="Arial" w:hAnsi="Arial"/>
          <w:sz w:val="19"/>
          <w:szCs w:val="19"/>
          <w:color w:val="auto"/>
        </w:rPr>
        <w:t>"), then the Borrowers shall have the right to replace any such Non-Consenting Lender with one or more replacement Lenders pursuant to Section 5.6.2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- 105 -</w:t>
      </w:r>
    </w:p>
    <w:p>
      <w:pPr>
        <w:sectPr>
          <w:pgSz w:w="11900" w:h="16838" w:orient="portrait"/>
          <w:cols w:equalWidth="0" w:num="1">
            <w:col w:w="11420"/>
          </w:cols>
          <w:pgMar w:left="240" w:top="1428" w:right="239" w:bottom="1440" w:gutter="0" w:footer="0" w:header="0"/>
        </w:sectPr>
      </w:pPr>
    </w:p>
    <w:bookmarkStart w:id="119" w:name="page120"/>
    <w:bookmarkEnd w:id="119"/>
    <w:p>
      <w:pPr>
        <w:ind w:left="1300"/>
        <w:spacing w:after="0" w:line="263" w:lineRule="auto"/>
        <w:rPr>
          <w:sz w:val="20"/>
          <w:szCs w:val="20"/>
          <w:color w:val="auto"/>
        </w:rPr>
      </w:pPr>
      <w:r>
        <w:rPr>
          <w:rFonts w:ascii="Arial" w:cs="Arial" w:eastAsia="Arial" w:hAnsi="Arial"/>
          <w:sz w:val="22"/>
          <w:szCs w:val="22"/>
          <w:color w:val="auto"/>
        </w:rPr>
        <w:t>affects any Defaulting Lender disproportionately adversely relative to other affected Lenders shall require the consent of such Defaulting Lender.</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Notwithstanding the foregoing, the Administrative Agent, with the consent of the Borrower Agent, may amend, modify or supplement any Loan Document without the consent of any Lender or the Required Lenders in order to correct or cure any ambiguity, inconsistency or defect or correct any manifest, typographical or ministerial error in any Loan Document (provided that any such amendment, modification or supplement shall not be materially adverse to the interests of the Lenders taken as a whole).</w:t>
      </w:r>
    </w:p>
    <w:p>
      <w:pPr>
        <w:spacing w:after="0" w:line="143" w:lineRule="exact"/>
        <w:rPr>
          <w:sz w:val="20"/>
          <w:szCs w:val="20"/>
          <w:color w:val="auto"/>
        </w:rPr>
      </w:pPr>
    </w:p>
    <w:p>
      <w:pPr>
        <w:jc w:val="both"/>
        <w:ind w:left="80" w:firstLine="648"/>
        <w:spacing w:after="0" w:line="247"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No Implied Waivers; Cumulative Remedies.</w:t>
      </w:r>
      <w:r>
        <w:rPr>
          <w:rFonts w:ascii="Arial" w:cs="Arial" w:eastAsia="Arial" w:hAnsi="Arial"/>
          <w:sz w:val="22"/>
          <w:szCs w:val="22"/>
          <w:color w:val="auto"/>
        </w:rPr>
        <w:t xml:space="preserve">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which they would otherwise have.</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Expenses; Indemnity; Damage Waiver.</w:t>
      </w:r>
    </w:p>
    <w:p>
      <w:pPr>
        <w:spacing w:after="0" w:line="220"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 xml:space="preserve">12.3.1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Issuing Lender in connection with the issuance, amendment, renewal or extension of any Letter of Credit or any demand for payment thereunder, (iii)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Administrative Agent, any Lender or the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during any workout, restructuring or negotiations in respect of such Loans or Letters of Credit, and (iv) all reasonable out-of-pocket expenses of the Administrative Agent's regular employees and agents engaged periodically to perform audits of the Loan Parties' books, records and business properties.</w:t>
      </w:r>
    </w:p>
    <w:p>
      <w:pPr>
        <w:spacing w:after="0" w:line="20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12.3.2 </w:t>
      </w:r>
      <w:r>
        <w:rPr>
          <w:rFonts w:ascii="Arial" w:cs="Arial" w:eastAsia="Arial" w:hAnsi="Arial"/>
          <w:sz w:val="22"/>
          <w:szCs w:val="22"/>
          <w:u w:val="single" w:color="auto"/>
          <w:color w:val="auto"/>
        </w:rPr>
        <w:t>Indemnification by the Loan Parties</w:t>
      </w:r>
      <w:r>
        <w:rPr>
          <w:rFonts w:ascii="Arial" w:cs="Arial" w:eastAsia="Arial" w:hAnsi="Arial"/>
          <w:sz w:val="22"/>
          <w:szCs w:val="22"/>
          <w:color w:val="auto"/>
        </w:rPr>
        <w:t>. The Loan Parties shall, jointly and severally, indemnify the Administrative Agent (and any sub-agent thereof), each Lender and the Issuing Lender, and each Related Party of any of the foregoing Persons (each such Person being called an "</w:t>
      </w:r>
      <w:r>
        <w:rPr>
          <w:rFonts w:ascii="Arial" w:cs="Arial" w:eastAsia="Arial" w:hAnsi="Arial"/>
          <w:sz w:val="22"/>
          <w:szCs w:val="22"/>
          <w:b w:val="1"/>
          <w:bCs w:val="1"/>
          <w:color w:val="auto"/>
        </w:rPr>
        <w:t>Indemnitee</w:t>
      </w:r>
      <w:r>
        <w:rPr>
          <w:rFonts w:ascii="Arial" w:cs="Arial" w:eastAsia="Arial" w:hAnsi="Arial"/>
          <w:sz w:val="22"/>
          <w:szCs w:val="22"/>
          <w:color w:val="auto"/>
        </w:rPr>
        <w:t>") against, and hold each Indemnitee harmless from, any and all losses, claims, damages, liabilities and related expenses (including the fees, charges and disbursements of any counsel for any Indemnitee), and shall indemnify and hold harmless each Indemnitee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- 106 -</w:t>
      </w:r>
    </w:p>
    <w:p>
      <w:pPr>
        <w:sectPr>
          <w:pgSz w:w="11900" w:h="16838" w:orient="portrait"/>
          <w:cols w:equalWidth="0" w:num="1">
            <w:col w:w="11420"/>
          </w:cols>
          <w:pgMar w:left="240" w:top="1428" w:right="239" w:bottom="1440" w:gutter="0" w:footer="0" w:header="0"/>
        </w:sectPr>
      </w:pPr>
    </w:p>
    <w:bookmarkStart w:id="120" w:name="page121"/>
    <w:bookmarkEnd w:id="120"/>
    <w:p>
      <w:pPr>
        <w:jc w:val="both"/>
        <w:spacing w:after="0" w:line="285" w:lineRule="auto"/>
        <w:rPr>
          <w:sz w:val="20"/>
          <w:szCs w:val="20"/>
          <w:color w:val="auto"/>
        </w:rPr>
      </w:pPr>
      <w:r>
        <w:rPr>
          <w:rFonts w:ascii="Arial" w:cs="Arial" w:eastAsia="Arial" w:hAnsi="Arial"/>
          <w:sz w:val="19"/>
          <w:szCs w:val="19"/>
          <w:color w:val="auto"/>
        </w:rPr>
        <w:t xml:space="preserve">all fees and time charges and disbursements for attorneys who may be employees of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Loan Parties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the Borrowers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Borrowers or any other Loan Party against an Indemnitee for breach in bad faith of such Indemnitee's obligations hereunder or under any other Loan Document, if the Borrowers or such Loan Party has obtained a final and nonappealable judgment in its favor on such claim as determined by a court of competent jurisdiction. Notwithstanding the foregoing, a Foreign Loan Party shall only be required to indemnify any Indemnitee pursuant to this Section to the extent that any such losses, liabilities, claims, penalties, damages or expenses have been caused by such Foreign Loan Party or are otherwise directly related or attributable to such Foreign Loan Party.</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12.3.3 </w:t>
      </w: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Loan Parties for any reason fail to indefeasibly pay any amount required under Sections 12.3.1 [Costs and Expenses] or 12.3.2 [Indemnification by the Loan Parties]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w:t>
      </w:r>
    </w:p>
    <w:p>
      <w:pPr>
        <w:spacing w:after="0" w:line="15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12.3.4 </w:t>
      </w:r>
      <w:r>
        <w:rPr>
          <w:rFonts w:ascii="Arial" w:cs="Arial" w:eastAsia="Arial" w:hAnsi="Arial"/>
          <w:sz w:val="22"/>
          <w:szCs w:val="22"/>
          <w:u w:val="single" w:color="auto"/>
          <w:color w:val="auto"/>
        </w:rPr>
        <w:t>Waiver of Consequential Damages, Etc</w:t>
      </w:r>
      <w:r>
        <w:rPr>
          <w:rFonts w:ascii="Arial" w:cs="Arial" w:eastAsia="Arial" w:hAnsi="Arial"/>
          <w:sz w:val="22"/>
          <w:szCs w:val="22"/>
          <w:color w:val="auto"/>
        </w:rPr>
        <w:t>. To the fullest extent permitted by applicable Law,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- 107 -</w:t>
      </w:r>
    </w:p>
    <w:p>
      <w:pPr>
        <w:sectPr>
          <w:pgSz w:w="11900" w:h="16838" w:orient="portrait"/>
          <w:cols w:equalWidth="0" w:num="1">
            <w:col w:w="11420"/>
          </w:cols>
          <w:pgMar w:left="240" w:top="1428" w:right="239" w:bottom="1440" w:gutter="0" w:footer="0" w:header="0"/>
        </w:sectPr>
      </w:pPr>
    </w:p>
    <w:bookmarkStart w:id="121" w:name="page122"/>
    <w:bookmarkEnd w:id="121"/>
    <w:p>
      <w:pPr>
        <w:jc w:val="both"/>
        <w:spacing w:after="0" w:line="250" w:lineRule="auto"/>
        <w:rPr>
          <w:sz w:val="20"/>
          <w:szCs w:val="20"/>
          <w:color w:val="auto"/>
        </w:rPr>
      </w:pPr>
      <w:r>
        <w:rPr>
          <w:rFonts w:ascii="Arial" w:cs="Arial" w:eastAsia="Arial" w:hAnsi="Arial"/>
          <w:sz w:val="22"/>
          <w:szCs w:val="22"/>
          <w:color w:val="auto"/>
        </w:rPr>
        <w:t>proceeds thereof. No Indemnitee referred to in Section 12.3.2 [Indemnification by the Loan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12.3.5 </w:t>
      </w: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(10) days after demand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therefor.</w:t>
      </w:r>
    </w:p>
    <w:p>
      <w:pPr>
        <w:spacing w:after="0" w:line="202" w:lineRule="exact"/>
        <w:rPr>
          <w:sz w:val="20"/>
          <w:szCs w:val="20"/>
          <w:color w:val="auto"/>
        </w:rPr>
      </w:pPr>
    </w:p>
    <w:p>
      <w:pPr>
        <w:jc w:val="both"/>
        <w:ind w:left="80" w:firstLine="648"/>
        <w:spacing w:after="0" w:line="290"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Holidays.</w:t>
      </w:r>
      <w:r>
        <w:rPr>
          <w:rFonts w:ascii="Arial" w:cs="Arial" w:eastAsia="Arial" w:hAnsi="Arial"/>
          <w:sz w:val="19"/>
          <w:szCs w:val="19"/>
          <w:color w:val="auto"/>
        </w:rPr>
        <w:t xml:space="preserve"> Whenever payment of a Loan to be made or taken hereunder shall be due on a day which is not a Business Day such payment shall be due on the next Business Day (except as provided in Section 4.2 [Interest Periods]) and such extension of time shall be included in computing interest and fees, except that (i) the Revolving Credit Loans and Swing Loans shall be due on the Business Day preceding the Expiration Date if the Expiration Date is not a Business Day and (ii) the Term Loans shall be due on the Business Day preceding the Maturity Date if the Maturity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Notices; Effectiveness; Electronic Communication.</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12.5.1 </w:t>
      </w:r>
      <w:r>
        <w:rPr>
          <w:rFonts w:ascii="Arial" w:cs="Arial" w:eastAsia="Arial" w:hAnsi="Arial"/>
          <w:sz w:val="22"/>
          <w:szCs w:val="22"/>
          <w:u w:val="single" w:color="auto"/>
          <w:color w:val="auto"/>
        </w:rPr>
        <w:t>Notices Generally</w:t>
      </w:r>
      <w:r>
        <w:rPr>
          <w:rFonts w:ascii="Arial" w:cs="Arial" w:eastAsia="Arial" w:hAnsi="Arial"/>
          <w:sz w:val="22"/>
          <w:szCs w:val="22"/>
          <w:color w:val="auto"/>
        </w:rPr>
        <w:t xml:space="preserve">. Except in the case of notices and other communications expressly permitted to be given by telephone (and except as provided in Section 12.5.2 [Electronic Communications]), all notices and other communications provided for herein shall be in writing and shall be delivered by hand or overnight courier service, mailed by certified or registered mail or sent by facsimile (i) if to a Lender, to it at its address set forth in its administrative questionnaire, or (ii) if to any other Person, to it at its address set forth on </w:t>
      </w:r>
      <w:r>
        <w:rPr>
          <w:rFonts w:ascii="Arial" w:cs="Arial" w:eastAsia="Arial" w:hAnsi="Arial"/>
          <w:sz w:val="22"/>
          <w:szCs w:val="22"/>
          <w:u w:val="single" w:color="auto"/>
          <w:color w:val="auto"/>
        </w:rPr>
        <w:t>Schedule 1.1(B)</w:t>
      </w:r>
      <w:r>
        <w:rPr>
          <w:rFonts w:ascii="Arial" w:cs="Arial" w:eastAsia="Arial" w:hAnsi="Arial"/>
          <w:sz w:val="22"/>
          <w:szCs w:val="22"/>
          <w:color w:val="auto"/>
        </w:rPr>
        <w:t>.</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12.5.2 [Electronic Communications], shall be effective as provided in such Section.</w:t>
      </w:r>
    </w:p>
    <w:p>
      <w:pPr>
        <w:spacing w:after="0" w:line="192"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19"/>
          <w:szCs w:val="19"/>
          <w:color w:val="auto"/>
        </w:rPr>
        <w:t xml:space="preserve">12.5.2 </w:t>
      </w: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Issuing Lender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the Loan Parties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- 108 -</w:t>
      </w:r>
    </w:p>
    <w:p>
      <w:pPr>
        <w:sectPr>
          <w:pgSz w:w="11900" w:h="16838" w:orient="portrait"/>
          <w:cols w:equalWidth="0" w:num="1">
            <w:col w:w="11420"/>
          </w:cols>
          <w:pgMar w:left="240" w:top="1428" w:right="239" w:bottom="1440" w:gutter="0" w:footer="0" w:header="0"/>
        </w:sectPr>
      </w:pPr>
    </w:p>
    <w:bookmarkStart w:id="122" w:name="page123"/>
    <w:bookmarkEnd w:id="122"/>
    <w:p>
      <w:pPr>
        <w:jc w:val="both"/>
        <w:spacing w:after="0" w:line="247" w:lineRule="auto"/>
        <w:rPr>
          <w:sz w:val="20"/>
          <w:szCs w:val="20"/>
          <w:color w:val="auto"/>
        </w:rPr>
      </w:pPr>
      <w:r>
        <w:rPr>
          <w:rFonts w:ascii="Arial" w:cs="Arial" w:eastAsia="Arial" w:hAnsi="Arial"/>
          <w:sz w:val="22"/>
          <w:szCs w:val="22"/>
          <w:color w:val="auto"/>
        </w:rPr>
        <w:t xml:space="preserve">receipt requested" function, as available, return e-mail or other written acknowledgement);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4" w:lineRule="exact"/>
        <w:rPr>
          <w:sz w:val="20"/>
          <w:szCs w:val="20"/>
          <w:color w:val="auto"/>
        </w:rPr>
      </w:pPr>
    </w:p>
    <w:p>
      <w:pPr>
        <w:jc w:val="both"/>
        <w:ind w:firstLine="1297"/>
        <w:spacing w:after="0" w:line="265" w:lineRule="exact"/>
        <w:rPr>
          <w:sz w:val="20"/>
          <w:szCs w:val="20"/>
          <w:color w:val="auto"/>
        </w:rPr>
      </w:pPr>
      <w:r>
        <w:rPr>
          <w:rFonts w:ascii="Arial" w:cs="Arial" w:eastAsia="Arial" w:hAnsi="Arial"/>
          <w:sz w:val="22"/>
          <w:szCs w:val="22"/>
          <w:color w:val="auto"/>
        </w:rPr>
        <w:t xml:space="preserve">12.5.3 </w:t>
      </w:r>
      <w:r>
        <w:rPr>
          <w:rFonts w:ascii="Arial" w:cs="Arial" w:eastAsia="Arial" w:hAnsi="Arial"/>
          <w:sz w:val="22"/>
          <w:szCs w:val="22"/>
          <w:u w:val="single" w:color="auto"/>
          <w:color w:val="auto"/>
        </w:rPr>
        <w:t>Change of Address, Etc</w:t>
      </w:r>
      <w:r>
        <w:rPr>
          <w:rFonts w:ascii="Arial" w:cs="Arial" w:eastAsia="Arial" w:hAnsi="Arial"/>
          <w:sz w:val="22"/>
          <w:szCs w:val="22"/>
          <w:color w:val="auto"/>
        </w:rPr>
        <w:t>. Any party hereto may change its address, e</w:t>
      </w:r>
      <w:r>
        <w:rPr>
          <w:rFonts w:ascii="MS PGothic" w:cs="MS PGothic" w:eastAsia="MS PGothic" w:hAnsi="MS PGothic"/>
          <w:sz w:val="22"/>
          <w:szCs w:val="22"/>
          <w:color w:val="auto"/>
        </w:rPr>
        <w:t>‑</w:t>
      </w:r>
      <w:r>
        <w:rPr>
          <w:rFonts w:ascii="Arial" w:cs="Arial" w:eastAsia="Arial" w:hAnsi="Arial"/>
          <w:sz w:val="22"/>
          <w:szCs w:val="22"/>
          <w:color w:val="auto"/>
        </w:rPr>
        <w:t>mail address or facsimile number for notices and other communications hereunder by notice to the other parties hereto.</w:t>
      </w:r>
    </w:p>
    <w:p>
      <w:pPr>
        <w:spacing w:after="0" w:line="200" w:lineRule="exact"/>
        <w:rPr>
          <w:sz w:val="20"/>
          <w:szCs w:val="20"/>
          <w:color w:val="auto"/>
        </w:rPr>
      </w:pPr>
    </w:p>
    <w:p>
      <w:pPr>
        <w:jc w:val="both"/>
        <w:ind w:left="80" w:firstLine="648"/>
        <w:spacing w:after="0" w:line="250"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88" w:lineRule="exact"/>
        <w:rPr>
          <w:sz w:val="20"/>
          <w:szCs w:val="20"/>
          <w:color w:val="auto"/>
        </w:rPr>
      </w:pPr>
    </w:p>
    <w:p>
      <w:pPr>
        <w:jc w:val="both"/>
        <w:ind w:left="80" w:firstLine="648"/>
        <w:spacing w:after="0" w:line="294"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Duration; Survival.</w:t>
      </w:r>
      <w:r>
        <w:rPr>
          <w:rFonts w:ascii="Arial" w:cs="Arial" w:eastAsia="Arial" w:hAnsi="Arial"/>
          <w:sz w:val="19"/>
          <w:szCs w:val="19"/>
          <w:color w:val="auto"/>
        </w:rPr>
        <w:t xml:space="preserve"> All representations and warranties of the Loan Parties contained herein or made in connection herewith shall survive the execution and delivery of this Agreement, the completion of the transactions hereunder and Payment In Full. All covenants and agreements of the Loan Parties contained herein relating to the payment of principal, interest, premiums, additional compensation or expenses and indemnification, including those set forth in the Notes, Article 5 [Payments] and Section 12.3 [Expenses; Indemnity; Damage Waiver], shall survive Payment In Full. All other covenants and agreements of the Loan Parties shall continue in full force and effect from and after the date hereof and until Payment In Full.</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Successors and Assigns.</w:t>
      </w:r>
    </w:p>
    <w:p>
      <w:pPr>
        <w:spacing w:after="0" w:line="2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12.8.1 </w:t>
      </w:r>
      <w:r>
        <w:rPr>
          <w:rFonts w:ascii="Arial" w:cs="Arial" w:eastAsia="Arial" w:hAnsi="Arial"/>
          <w:sz w:val="21"/>
          <w:szCs w:val="21"/>
          <w:u w:val="single" w:color="auto"/>
          <w:color w:val="auto"/>
        </w:rPr>
        <w:t>Successors and Assigns Generally</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12.8.2 [Assignments by Lenders], (ii) by way of participation in accordance with the provisions of Section 12.8.4 [Participations], or (iii) by way of pledge or assignment of a security interest subject to the restrictions of Section 12.8.6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12.8.4 [Participations] and, to the extent expressly contemplated hereby, the Related Parties of each of the Administrative Agent and the Lenders) any legal or equitable right, remedy or claim under or by reason of this Agreement.</w:t>
      </w:r>
    </w:p>
    <w:p>
      <w:pPr>
        <w:spacing w:after="0" w:line="180"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22"/>
          <w:szCs w:val="22"/>
          <w:color w:val="auto"/>
        </w:rPr>
        <w:t xml:space="preserve">12.8.2 </w:t>
      </w: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- 109 -</w:t>
      </w:r>
    </w:p>
    <w:p>
      <w:pPr>
        <w:sectPr>
          <w:pgSz w:w="11900" w:h="16838" w:orient="portrait"/>
          <w:cols w:equalWidth="0" w:num="1">
            <w:col w:w="11420"/>
          </w:cols>
          <w:pgMar w:left="240" w:top="1428" w:right="239" w:bottom="1440" w:gutter="0" w:footer="0" w:header="0"/>
        </w:sectPr>
      </w:pPr>
    </w:p>
    <w:bookmarkStart w:id="123" w:name="page124"/>
    <w:bookmarkEnd w:id="123"/>
    <w:p>
      <w:pPr>
        <w:ind w:left="1020" w:hanging="267"/>
        <w:spacing w:after="0"/>
        <w:tabs>
          <w:tab w:leader="none" w:pos="102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00" w:firstLine="2601"/>
        <w:spacing w:after="0" w:line="253" w:lineRule="auto"/>
        <w:tabs>
          <w:tab w:leader="none" w:pos="1754" w:val="left"/>
        </w:tabs>
        <w:numPr>
          <w:ilvl w:val="1"/>
          <w:numId w:val="95"/>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5" w:lineRule="exact"/>
        <w:rPr>
          <w:rFonts w:ascii="Arial" w:cs="Arial" w:eastAsia="Arial" w:hAnsi="Arial"/>
          <w:sz w:val="22"/>
          <w:szCs w:val="22"/>
          <w:color w:val="auto"/>
        </w:rPr>
      </w:pPr>
    </w:p>
    <w:p>
      <w:pPr>
        <w:jc w:val="both"/>
        <w:ind w:left="-1200" w:firstLine="2601"/>
        <w:spacing w:after="0" w:line="290" w:lineRule="auto"/>
        <w:tabs>
          <w:tab w:leader="none" w:pos="1726" w:val="left"/>
        </w:tabs>
        <w:numPr>
          <w:ilvl w:val="1"/>
          <w:numId w:val="95"/>
        </w:numPr>
        <w:rPr>
          <w:rFonts w:ascii="Arial" w:cs="Arial" w:eastAsia="Arial" w:hAnsi="Arial"/>
          <w:sz w:val="19"/>
          <w:szCs w:val="19"/>
          <w:color w:val="auto"/>
        </w:rPr>
      </w:pPr>
      <w:r>
        <w:rPr>
          <w:rFonts w:ascii="Arial" w:cs="Arial" w:eastAsia="Arial" w:hAnsi="Arial"/>
          <w:sz w:val="19"/>
          <w:szCs w:val="19"/>
          <w:color w:val="auto"/>
        </w:rPr>
        <w:t>in any case not described in clause (i)(a) of this Section 12.8.2,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case of any assignment in respect of the Revolving Credit Commitment of the assigning Lender, or $5,000,000, in the case of the Term Loan of such assigning Lender, unless each of the Administrative Agent and, so long as no Event of Default has occurred and is continuing, the Borrower Agent otherwise consents (each such consent not to be unreasonably withheld or delayed).</w:t>
      </w:r>
    </w:p>
    <w:p>
      <w:pPr>
        <w:spacing w:after="0" w:line="157" w:lineRule="exact"/>
        <w:rPr>
          <w:sz w:val="20"/>
          <w:szCs w:val="20"/>
          <w:color w:val="auto"/>
        </w:rPr>
      </w:pPr>
    </w:p>
    <w:p>
      <w:pPr>
        <w:ind w:left="-1200" w:right="20" w:firstLine="1953"/>
        <w:spacing w:after="0" w:line="343" w:lineRule="auto"/>
        <w:tabs>
          <w:tab w:leader="none" w:pos="1063"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Loan or the Commitment assigned.</w:t>
      </w:r>
    </w:p>
    <w:p>
      <w:pPr>
        <w:spacing w:after="0" w:line="104" w:lineRule="exact"/>
        <w:rPr>
          <w:rFonts w:ascii="Arial" w:cs="Arial" w:eastAsia="Arial" w:hAnsi="Arial"/>
          <w:sz w:val="19"/>
          <w:szCs w:val="19"/>
          <w:color w:val="auto"/>
        </w:rPr>
      </w:pPr>
    </w:p>
    <w:p>
      <w:pPr>
        <w:ind w:left="-1200" w:firstLine="1953"/>
        <w:spacing w:after="0" w:line="263" w:lineRule="auto"/>
        <w:tabs>
          <w:tab w:leader="none" w:pos="1163"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for the consent of the Administrative Agent (which shall not be unreasonably withheld or delayed) and:</w:t>
      </w:r>
    </w:p>
    <w:p>
      <w:pPr>
        <w:spacing w:after="0" w:line="174" w:lineRule="exact"/>
        <w:rPr>
          <w:rFonts w:ascii="Arial" w:cs="Arial" w:eastAsia="Arial" w:hAnsi="Arial"/>
          <w:sz w:val="22"/>
          <w:szCs w:val="22"/>
          <w:color w:val="auto"/>
        </w:rPr>
      </w:pPr>
    </w:p>
    <w:p>
      <w:pPr>
        <w:jc w:val="both"/>
        <w:ind w:left="-1200" w:firstLine="2601"/>
        <w:spacing w:after="0" w:line="248" w:lineRule="auto"/>
        <w:tabs>
          <w:tab w:leader="none" w:pos="1714"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consent of the Borrower Agent (such consent not to be unreasonably withheld or delayed) shall be required unless (x) an Event of Default has occurred and is continuing at the time of such assignment or (y) such assignment is to a Lender, an Affiliate of a Lender or an Approved Fund; provided that the Borrower Agent shall be deemed to have consented to any such assignment unless it has objected thereto by written notice to the Administrative Agent within five (5) Business Days after having received notice thereof; and</w:t>
      </w:r>
    </w:p>
    <w:p>
      <w:pPr>
        <w:spacing w:after="0" w:line="192" w:lineRule="exact"/>
        <w:rPr>
          <w:rFonts w:ascii="Arial" w:cs="Arial" w:eastAsia="Arial" w:hAnsi="Arial"/>
          <w:sz w:val="22"/>
          <w:szCs w:val="22"/>
          <w:color w:val="auto"/>
        </w:rPr>
      </w:pPr>
    </w:p>
    <w:p>
      <w:pPr>
        <w:jc w:val="both"/>
        <w:ind w:left="-1200" w:firstLine="2601"/>
        <w:spacing w:after="0" w:line="253" w:lineRule="auto"/>
        <w:tabs>
          <w:tab w:leader="none" w:pos="1699"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85" w:lineRule="exact"/>
        <w:rPr>
          <w:rFonts w:ascii="Arial" w:cs="Arial" w:eastAsia="Arial" w:hAnsi="Arial"/>
          <w:sz w:val="22"/>
          <w:szCs w:val="22"/>
          <w:color w:val="auto"/>
        </w:rPr>
      </w:pPr>
    </w:p>
    <w:p>
      <w:pPr>
        <w:jc w:val="both"/>
        <w:ind w:left="-1200" w:firstLine="1953"/>
        <w:spacing w:after="0" w:line="250" w:lineRule="auto"/>
        <w:tabs>
          <w:tab w:leader="none" w:pos="111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The parties to each assignment shall execute and deliver to the Administrative Agent an Assignment and Assumption Agreement, together with a processing and recordation fee of $3,500, and the assignee, if it is not a Lender, shall deliver to the Administrative Agent an administrative questionnaire provided by the Administrative Agent.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5" w:lineRule="exact"/>
        <w:rPr>
          <w:rFonts w:ascii="Arial" w:cs="Arial" w:eastAsia="Arial" w:hAnsi="Arial"/>
          <w:sz w:val="22"/>
          <w:szCs w:val="22"/>
          <w:color w:val="auto"/>
        </w:rPr>
      </w:pPr>
    </w:p>
    <w:p>
      <w:pPr>
        <w:ind w:left="4360" w:hanging="130"/>
        <w:spacing w:after="0"/>
        <w:tabs>
          <w:tab w:leader="none" w:pos="4360" w:val="left"/>
        </w:tabs>
        <w:numPr>
          <w:ilvl w:val="2"/>
          <w:numId w:val="96"/>
        </w:numPr>
        <w:rPr>
          <w:rFonts w:ascii="Arial" w:cs="Arial" w:eastAsia="Arial" w:hAnsi="Arial"/>
          <w:sz w:val="22"/>
          <w:szCs w:val="22"/>
          <w:color w:val="auto"/>
        </w:rPr>
      </w:pPr>
      <w:r>
        <w:rPr>
          <w:rFonts w:ascii="Arial" w:cs="Arial" w:eastAsia="Arial" w:hAnsi="Arial"/>
          <w:sz w:val="22"/>
          <w:szCs w:val="22"/>
          <w:color w:val="auto"/>
        </w:rPr>
        <w:t>110 -</w:t>
      </w:r>
    </w:p>
    <w:p>
      <w:pPr>
        <w:sectPr>
          <w:pgSz w:w="11900" w:h="16838" w:orient="portrait"/>
          <w:cols w:equalWidth="0" w:num="1">
            <w:col w:w="10220"/>
          </w:cols>
          <w:pgMar w:left="1440" w:top="1428" w:right="239" w:bottom="1440" w:gutter="0" w:footer="0" w:header="0"/>
        </w:sectPr>
      </w:pPr>
    </w:p>
    <w:bookmarkStart w:id="124" w:name="page125"/>
    <w:bookmarkEnd w:id="124"/>
    <w:p>
      <w:pPr>
        <w:jc w:val="both"/>
        <w:ind w:firstLine="1953"/>
        <w:spacing w:after="0" w:line="253" w:lineRule="auto"/>
        <w:tabs>
          <w:tab w:leader="none" w:pos="225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No such assignment shall be made to (A) any Loan Party or any of its Affiliates or Subsidiaries or (B) to any Defaulting Lender or any of its Subsidiaries, or any Person who, upon becoming a Lender hereunder, would constitute a Defaulting Lender or a Subsidiary thereof.</w:t>
      </w:r>
    </w:p>
    <w:p>
      <w:pPr>
        <w:spacing w:after="0" w:line="185" w:lineRule="exact"/>
        <w:rPr>
          <w:rFonts w:ascii="Arial" w:cs="Arial" w:eastAsia="Arial" w:hAnsi="Arial"/>
          <w:sz w:val="22"/>
          <w:szCs w:val="22"/>
          <w:color w:val="auto"/>
        </w:rPr>
      </w:pPr>
    </w:p>
    <w:p>
      <w:pPr>
        <w:ind w:left="2320" w:hanging="367"/>
        <w:spacing w:after="0"/>
        <w:tabs>
          <w:tab w:leader="none" w:pos="232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Assignment to Natural Persons</w:t>
      </w:r>
      <w:r>
        <w:rPr>
          <w:rFonts w:ascii="Arial" w:cs="Arial" w:eastAsia="Arial" w:hAnsi="Arial"/>
          <w:sz w:val="22"/>
          <w:szCs w:val="22"/>
          <w:color w:val="auto"/>
        </w:rPr>
        <w:t>. No such assignment shall be made to a natural person.</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Subject to acceptance and recording thereof by the Administrative Agent pursuant to Section 12.8.3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4.4 [Euro-Rate Unascertainable; Illegality; Increased Costs; Deposits Not Available], 5.8 [Increased Costs], and 12.3 [Expenses, Indemnity; Damage Waiver] with respect to facts and circumstances occurring prior to the effective date of such assignment. Any assignment or transfer by a Lender of rights or obligations under this Agreement that does not comply with this Section 12.8.2 shall be treated for purposes of this Agreement as a sale by such Lender of a participation in such rights and obligations in accordance with Section 12.8.4 [Participations].</w:t>
      </w:r>
    </w:p>
    <w:p>
      <w:pPr>
        <w:spacing w:after="0" w:line="15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12.8.3 </w:t>
      </w: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Borrowers, shall maintain a record of the names and addresses of the Lenders, and the Commitments of, and principal amounts of the Loans owing to, each Lender pursuant to the terms hereof from time to time. Such register shall be conclusive, and the Borrowers,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Borrowers and any Lender, at any reasonable time and from time to time upon reasonable prior notice.</w:t>
      </w:r>
    </w:p>
    <w:p>
      <w:pPr>
        <w:spacing w:after="0" w:line="15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12.8.4 </w:t>
      </w: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Borrowers or the Administrative Agent, sell participations to any Person (other than a natural person or the Borrowers or any of the Borrowers' Affiliates or Subsidiaries) (each, a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Lenders, Issuing Lender shall continue to deal solely and directly with such Lender in connection with such Lender's rights and obligations under this Agreement.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agreement or instrument pursuant to which a Lender sells such a participation shall provide that such Lender shall retain the sole right to enforce this Agreement and to approve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- 111 -</w:t>
      </w:r>
    </w:p>
    <w:p>
      <w:pPr>
        <w:sectPr>
          <w:pgSz w:w="11900" w:h="16838" w:orient="portrait"/>
          <w:cols w:equalWidth="0" w:num="1">
            <w:col w:w="11420"/>
          </w:cols>
          <w:pgMar w:left="240" w:top="1428" w:right="239" w:bottom="1440" w:gutter="0" w:footer="0" w:header="0"/>
        </w:sectPr>
      </w:pPr>
    </w:p>
    <w:bookmarkStart w:id="125" w:name="page126"/>
    <w:bookmarkEnd w:id="125"/>
    <w:p>
      <w:pPr>
        <w:jc w:val="both"/>
        <w:spacing w:after="0" w:line="284" w:lineRule="auto"/>
        <w:rPr>
          <w:sz w:val="20"/>
          <w:szCs w:val="20"/>
          <w:color w:val="auto"/>
        </w:rPr>
      </w:pPr>
      <w:r>
        <w:rPr>
          <w:rFonts w:ascii="Arial" w:cs="Arial" w:eastAsia="Arial" w:hAnsi="Arial"/>
          <w:sz w:val="19"/>
          <w:szCs w:val="19"/>
          <w:color w:val="auto"/>
        </w:rPr>
        <w:t xml:space="preserve">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(other than as is already provided for herein) to any amendment, modification or waiver with respect to Sections 12.1.1 [Increase of Commitment], 12.1.2 [Extension of Payment, Etc.], or 12.1.3 [Release of Guarantor] that affects such Participant. Each Borrower agrees that each Participant shall be entitled to the benefits of Sections 4.4 [Euro-Rate Unascertainable, Etc.], 0 [Increased Costs], 5.10 [Indemnity] and 5.9 [Taxes] (subject to the requirements and limitations therein, including the requirements under Section 5.9.7 [Status of Lenders] (it being understood that the documentation required under Section 5.9.7 [Status of Lenders] shall be delivered to the participating Lender)) to the same extent as if it were a Lender and had acquired its interest by assignment pursuant to Section 12.8.2 [Assignments by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Section 5.6.2 [Replacement of a Lender] and Section 5.6.3 [Designation of a Different Lending Office] as if it were an assignee under Section 12.8.2 [Assignments by Lenders]; and (B) shall not be entitled to receive any greater payment under Sections 5.8[Increased Costs] or 5.9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 Agent's request and expense, to use reasonable efforts to cooperate with the Borrowers to effectuate the provisions of Section 5.6.2 [Replacement of a Lender] and Section 5.6.3 [Designation of Different Lending Office] with respect to any Participant. To the extent permitted by law, each Participant also shall be entitled to the benefits of Section 9.2.3 [Set-off]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Section 5.3 [Sharing of Payments by Lenders]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12.8.5 </w:t>
      </w:r>
      <w:r>
        <w:rPr>
          <w:rFonts w:ascii="Arial" w:cs="Arial" w:eastAsia="Arial" w:hAnsi="Arial"/>
          <w:sz w:val="22"/>
          <w:szCs w:val="22"/>
          <w:u w:val="single" w:color="auto"/>
          <w:color w:val="auto"/>
        </w:rPr>
        <w:t>Limitations upon Participant Rights Successors and Assigns Generally</w:t>
      </w:r>
      <w:r>
        <w:rPr>
          <w:rFonts w:ascii="Arial" w:cs="Arial" w:eastAsia="Arial" w:hAnsi="Arial"/>
          <w:sz w:val="22"/>
          <w:szCs w:val="22"/>
          <w:color w:val="auto"/>
        </w:rPr>
        <w:t>. A Participant shall not be entitled to receive any greater payment under Sections 5.8 [Increased Costs], 5.9 [Taxes] or 12.3 [Expenses; Indemnity; Damage Waiver]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5.9 [Taxes] unless the Borrowers are notified of the participation sold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- 112 -</w:t>
      </w:r>
    </w:p>
    <w:p>
      <w:pPr>
        <w:sectPr>
          <w:pgSz w:w="11900" w:h="16838" w:orient="portrait"/>
          <w:cols w:equalWidth="0" w:num="1">
            <w:col w:w="11420"/>
          </w:cols>
          <w:pgMar w:left="240" w:top="1428" w:right="239" w:bottom="1440" w:gutter="0" w:footer="0" w:header="0"/>
        </w:sectPr>
      </w:pPr>
    </w:p>
    <w:bookmarkStart w:id="126" w:name="page127"/>
    <w:bookmarkEnd w:id="126"/>
    <w:p>
      <w:pPr>
        <w:jc w:val="both"/>
        <w:ind w:right="20"/>
        <w:spacing w:after="0" w:line="263" w:lineRule="auto"/>
        <w:rPr>
          <w:sz w:val="20"/>
          <w:szCs w:val="20"/>
          <w:color w:val="auto"/>
        </w:rPr>
      </w:pPr>
      <w:r>
        <w:rPr>
          <w:rFonts w:ascii="Arial" w:cs="Arial" w:eastAsia="Arial" w:hAnsi="Arial"/>
          <w:sz w:val="22"/>
          <w:szCs w:val="22"/>
          <w:color w:val="auto"/>
        </w:rPr>
        <w:t>such Participant and such Participant agrees, for the benefit of the Borrowers, to comply with Section 5.9.7 [Status of Lenders] as though it were a Lender.</w:t>
      </w:r>
    </w:p>
    <w:p>
      <w:pPr>
        <w:spacing w:after="0" w:line="17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12.8.6 </w:t>
      </w:r>
      <w:r>
        <w:rPr>
          <w:rFonts w:ascii="Arial" w:cs="Arial" w:eastAsia="Arial" w:hAnsi="Arial"/>
          <w:sz w:val="19"/>
          <w:szCs w:val="19"/>
          <w:u w:val="single" w:color="auto"/>
          <w:color w:val="auto"/>
        </w:rPr>
        <w:t>Certain Pledges; Successors and Assigns Generally</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Confidentiality.</w:t>
      </w:r>
    </w:p>
    <w:p>
      <w:pPr>
        <w:spacing w:after="0" w:line="22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12.9.1 </w:t>
      </w:r>
      <w:r>
        <w:rPr>
          <w:rFonts w:ascii="Arial" w:cs="Arial" w:eastAsia="Arial" w:hAnsi="Arial"/>
          <w:sz w:val="19"/>
          <w:szCs w:val="19"/>
          <w:u w:val="single" w:color="auto"/>
          <w:color w:val="auto"/>
        </w:rPr>
        <w:t>General</w:t>
      </w:r>
      <w:r>
        <w:rPr>
          <w:rFonts w:ascii="Arial" w:cs="Arial" w:eastAsia="Arial" w:hAnsi="Arial"/>
          <w:sz w:val="19"/>
          <w:szCs w:val="19"/>
          <w:color w:val="auto"/>
        </w:rPr>
        <w:t>. 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Borrowers and their obligations, (vii) with the consent of the Borrowers or (viii) to the extent such Information (Y) becomes publicly available other than as a result of a breach of this Section or (Z) becomes available to the Administrative Agent, any Lender, the Issuing Lender or any of their respective Affiliates on a nonconfidential basis from a source other than the Borrowers or the other Loan Parties.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12.9.2 </w:t>
      </w:r>
      <w:r>
        <w:rPr>
          <w:rFonts w:ascii="Arial" w:cs="Arial" w:eastAsia="Arial" w:hAnsi="Arial"/>
          <w:sz w:val="22"/>
          <w:szCs w:val="22"/>
          <w:u w:val="single" w:color="auto"/>
          <w:color w:val="auto"/>
        </w:rPr>
        <w:t>Sharing Information With Affiliates of the Lenders</w:t>
      </w:r>
      <w:r>
        <w:rPr>
          <w:rFonts w:ascii="Arial" w:cs="Arial" w:eastAsia="Arial" w:hAnsi="Arial"/>
          <w:sz w:val="22"/>
          <w:szCs w:val="22"/>
          <w:color w:val="auto"/>
        </w:rPr>
        <w:t>. Each Loan Party acknowledges that from time to time financial advisory, investment banking and other services may be offered or provided to the Borrowers or one or more of their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12.9.1 [General].</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Subject to the provisions of Section 12.9.1 [General], each Loan Party consents to the publication by the Administrative Agent or any Lender of customary advertising material relating to the transactions contemplated hereby using the name, product photographs, logo or trademark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- 113 -</w:t>
      </w:r>
    </w:p>
    <w:p>
      <w:pPr>
        <w:sectPr>
          <w:pgSz w:w="11900" w:h="16838" w:orient="portrait"/>
          <w:cols w:equalWidth="0" w:num="1">
            <w:col w:w="11420"/>
          </w:cols>
          <w:pgMar w:left="240" w:top="1428" w:right="23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2"/>
          <w:szCs w:val="22"/>
          <w:color w:val="auto"/>
        </w:rPr>
        <w:t>such Loan Party.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 to the extent applicable or not exempt.</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Counterparts; Integration; Effectiveness.</w:t>
      </w:r>
    </w:p>
    <w:p>
      <w:pPr>
        <w:spacing w:after="0" w:line="220"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 xml:space="preserve">12.10.1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Article 7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w:t>
      </w:r>
      <w:r>
        <w:rPr>
          <w:rFonts w:ascii="MS PGothic" w:cs="MS PGothic" w:eastAsia="MS PGothic" w:hAnsi="MS PGothic"/>
          <w:sz w:val="19"/>
          <w:szCs w:val="19"/>
          <w:color w:val="auto"/>
        </w:rPr>
        <w:t>‑</w:t>
      </w:r>
      <w:r>
        <w:rPr>
          <w:rFonts w:ascii="Arial" w:cs="Arial" w:eastAsia="Arial" w:hAnsi="Arial"/>
          <w:sz w:val="19"/>
          <w:szCs w:val="19"/>
          <w:color w:val="auto"/>
        </w:rPr>
        <w:t>mail shall be effective as delivery of a manually executed counterpart of this Agreement.</w:t>
      </w:r>
    </w:p>
    <w:p>
      <w:pPr>
        <w:spacing w:after="0" w:line="206" w:lineRule="exact"/>
        <w:rPr>
          <w:sz w:val="20"/>
          <w:szCs w:val="20"/>
          <w:color w:val="auto"/>
        </w:rPr>
      </w:pPr>
    </w:p>
    <w:p>
      <w:pPr>
        <w:ind w:right="160" w:firstLine="1297"/>
        <w:spacing w:after="0" w:line="247" w:lineRule="auto"/>
        <w:rPr>
          <w:sz w:val="20"/>
          <w:szCs w:val="20"/>
          <w:color w:val="auto"/>
        </w:rPr>
      </w:pPr>
      <w:r>
        <w:rPr>
          <w:rFonts w:ascii="Arial" w:cs="Arial" w:eastAsia="Arial" w:hAnsi="Arial"/>
          <w:sz w:val="22"/>
          <w:szCs w:val="22"/>
          <w:color w:val="auto"/>
        </w:rPr>
        <w:t>12.10.2 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94" w:lineRule="exact"/>
        <w:rPr>
          <w:sz w:val="20"/>
          <w:szCs w:val="20"/>
          <w:color w:val="auto"/>
        </w:rPr>
      </w:pPr>
    </w:p>
    <w:p>
      <w:pPr>
        <w:ind w:left="80" w:right="20" w:firstLine="648"/>
        <w:spacing w:after="0" w:line="263"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CHOICE OF LAW; SUBMISSION TO JURISDICTION; WAIVER OF VENUE; SERVICE OF PROCESS;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WAIVER OF JURY TRIAL.</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12.11.1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under the Laws of the Commonwealth of Pennsylvania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Arial" w:cs="Arial" w:eastAsia="Arial" w:hAnsi="Arial"/>
          <w:sz w:val="22"/>
          <w:szCs w:val="22"/>
          <w:b w:val="1"/>
          <w:bCs w:val="1"/>
          <w:color w:val="auto"/>
        </w:rPr>
        <w:t>ICC</w:t>
      </w:r>
      <w:r>
        <w:rPr>
          <w:rFonts w:ascii="Arial" w:cs="Arial" w:eastAsia="Arial" w:hAnsi="Arial"/>
          <w:sz w:val="22"/>
          <w:szCs w:val="22"/>
          <w:color w:val="auto"/>
        </w:rPr>
        <w:t>") at the time of issuance ("</w:t>
      </w:r>
      <w:r>
        <w:rPr>
          <w:rFonts w:ascii="Arial" w:cs="Arial" w:eastAsia="Arial" w:hAnsi="Arial"/>
          <w:sz w:val="22"/>
          <w:szCs w:val="22"/>
          <w:b w:val="1"/>
          <w:bCs w:val="1"/>
          <w:color w:val="auto"/>
        </w:rPr>
        <w:t>UCP</w:t>
      </w:r>
      <w:r>
        <w:rPr>
          <w:rFonts w:ascii="Arial" w:cs="Arial" w:eastAsia="Arial" w:hAnsi="Arial"/>
          <w:sz w:val="22"/>
          <w:szCs w:val="22"/>
          <w:color w:val="auto"/>
        </w:rPr>
        <w:t>") or the rules of the International Standby Practices (ICC Publication Number 590) ("</w:t>
      </w:r>
      <w:r>
        <w:rPr>
          <w:rFonts w:ascii="Arial" w:cs="Arial" w:eastAsia="Arial" w:hAnsi="Arial"/>
          <w:sz w:val="22"/>
          <w:szCs w:val="22"/>
          <w:b w:val="1"/>
          <w:bCs w:val="1"/>
          <w:color w:val="auto"/>
        </w:rPr>
        <w:t>ISP98</w:t>
      </w:r>
      <w:r>
        <w:rPr>
          <w:rFonts w:ascii="Arial" w:cs="Arial" w:eastAsia="Arial" w:hAnsi="Arial"/>
          <w:sz w:val="22"/>
          <w:szCs w:val="22"/>
          <w:color w:val="auto"/>
        </w:rPr>
        <w:t>"), as determined by the Issuing Lender, and each trade Letter of Credit shall be subject to UCP, and in each case to the extent not inconsistent therewith, the Laws of the Commonwealth of Pennsylvania without regard to is conflict of laws principles.</w:t>
      </w:r>
    </w:p>
    <w:p>
      <w:pPr>
        <w:spacing w:after="0" w:line="19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12.11.2 </w:t>
      </w: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THE BORROWER AND EACH OTHER LOAN PARTY IRREVOCABLY AND UNCONDITIONALLY SUBMITS, FOR ITSELF AND ITS PROPERTY, TO THE NONEXCLUSIVE JURISDICTION OF THE COURTS OF THE COMMONWEALTH OF PENNSYLVANIA SITTING IN ALLEGHENY COUNTY AND ANY APPELLATE COURT FROM ANY THEREOF, IN ANY ACTION OR PROCEEDING ARISING OUT OF OR RELATING TO THIS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- 114 -</w:t>
      </w:r>
    </w:p>
    <w:p>
      <w:pPr>
        <w:sectPr>
          <w:pgSz w:w="11900" w:h="16838" w:orient="portrait"/>
          <w:cols w:equalWidth="0" w:num="1">
            <w:col w:w="11420"/>
          </w:cols>
          <w:pgMar w:left="240" w:top="1428" w:right="239" w:bottom="1440" w:gutter="0" w:footer="0" w:header="0"/>
        </w:sectPr>
      </w:pPr>
    </w:p>
    <w:bookmarkStart w:id="128" w:name="page129"/>
    <w:bookmarkEnd w:id="128"/>
    <w:p>
      <w:pPr>
        <w:jc w:val="both"/>
        <w:spacing w:after="0" w:line="245" w:lineRule="auto"/>
        <w:rPr>
          <w:sz w:val="20"/>
          <w:szCs w:val="20"/>
          <w:color w:val="auto"/>
        </w:rPr>
      </w:pPr>
      <w:r>
        <w:rPr>
          <w:rFonts w:ascii="Arial" w:cs="Arial" w:eastAsia="Arial" w:hAnsi="Arial"/>
          <w:sz w:val="22"/>
          <w:szCs w:val="22"/>
          <w:color w:val="auto"/>
        </w:rPr>
        <w:t>OTHER LOAN DOCUMENT, OR FOR RECOGNITION OR ENFORCEMENT OF ANY JUDGMENT, AND EACH OF THE PARTIES HERETO IRREVOCABLY AND UNCONDITIONALLY AGREES THAT ALL CLAIMS IN RESPECT OF ANY SUCH ACTION OR PROCEEDING MAY BE HEARD AND DETERMINED IN SUCH PENNSYLVANIA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THE BORROWER OR ANY OTHER LOAN PARTY OR ITS PROPERTIES IN THE COURTS OF ANY JURISDICTION.</w:t>
      </w:r>
    </w:p>
    <w:p>
      <w:pPr>
        <w:spacing w:after="0" w:line="19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12.11.3 </w:t>
      </w:r>
      <w:r>
        <w:rPr>
          <w:rFonts w:ascii="Arial" w:cs="Arial" w:eastAsia="Arial" w:hAnsi="Arial"/>
          <w:sz w:val="22"/>
          <w:szCs w:val="22"/>
          <w:u w:val="single" w:color="auto"/>
          <w:color w:val="auto"/>
        </w:rPr>
        <w:t>WAIVER OF VENUE</w:t>
      </w:r>
      <w:r>
        <w:rPr>
          <w:rFonts w:ascii="Arial" w:cs="Arial" w:eastAsia="Arial" w:hAnsi="Arial"/>
          <w:sz w:val="22"/>
          <w:szCs w:val="22"/>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12.11.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12.11.4 </w:t>
      </w: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HERETO IRREVOCABLY CONSENTS TO SERVICE OF PROCESS IN THE MANNER PROVIDED FOR NOTICES IN SECTION 12.5 [NOTICES; EFFECTIVENESS; ELECTRONIC COMMUNICATION]. NOTHING IN THIS AGREEMENT WILL AFFECT THE RIGHT OF ANY PARTY HERETO TO SERVE PROCESS IN ANY OTHER MANNER PERMITTED BY APPLICABLE LAW.</w:t>
      </w:r>
    </w:p>
    <w:p>
      <w:pPr>
        <w:spacing w:after="0" w:line="18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12.11.5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- 115 -</w:t>
      </w:r>
    </w:p>
    <w:p>
      <w:pPr>
        <w:sectPr>
          <w:pgSz w:w="11900" w:h="16838" w:orient="portrait"/>
          <w:cols w:equalWidth="0" w:num="1">
            <w:col w:w="11420"/>
          </w:cols>
          <w:pgMar w:left="240" w:top="1428" w:right="239" w:bottom="1440" w:gutter="0" w:footer="0" w:header="0"/>
        </w:sectPr>
      </w:pPr>
    </w:p>
    <w:bookmarkStart w:id="129" w:name="page130"/>
    <w:bookmarkEnd w:id="129"/>
    <w:p>
      <w:pPr>
        <w:jc w:val="both"/>
        <w:ind w:firstLine="648"/>
        <w:spacing w:after="0" w:line="248"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u w:val="single" w:color="auto"/>
          <w:color w:val="auto"/>
        </w:rPr>
        <w:t>USA PATRIOT Act Notice.</w:t>
      </w:r>
      <w:r>
        <w:rPr>
          <w:rFonts w:ascii="Arial" w:cs="Arial" w:eastAsia="Arial" w:hAnsi="Arial"/>
          <w:sz w:val="22"/>
          <w:szCs w:val="22"/>
          <w:color w:val="auto"/>
        </w:rPr>
        <w:t xml:space="preserve">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spacing w:after="0" w:line="1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u w:val="single" w:color="auto"/>
          <w:color w:val="auto"/>
        </w:rPr>
        <w:t>Borrower Agent.</w:t>
      </w:r>
      <w:r>
        <w:rPr>
          <w:rFonts w:ascii="Arial" w:cs="Arial" w:eastAsia="Arial" w:hAnsi="Arial"/>
          <w:sz w:val="21"/>
          <w:szCs w:val="21"/>
          <w:color w:val="auto"/>
        </w:rPr>
        <w:t xml:space="preserve"> Each of the Borrowers hereby irrevocably appoints the Company as its agent (the "</w:t>
      </w:r>
      <w:r>
        <w:rPr>
          <w:rFonts w:ascii="Arial" w:cs="Arial" w:eastAsia="Arial" w:hAnsi="Arial"/>
          <w:sz w:val="21"/>
          <w:szCs w:val="21"/>
          <w:b w:val="1"/>
          <w:bCs w:val="1"/>
          <w:color w:val="auto"/>
        </w:rPr>
        <w:t>Borrower</w:t>
      </w:r>
      <w:r>
        <w:rPr>
          <w:rFonts w:ascii="Arial" w:cs="Arial" w:eastAsia="Arial" w:hAnsi="Arial"/>
          <w:sz w:val="21"/>
          <w:szCs w:val="21"/>
          <w:color w:val="auto"/>
        </w:rPr>
        <w:t xml:space="preserve"> </w:t>
      </w:r>
      <w:r>
        <w:rPr>
          <w:rFonts w:ascii="Arial" w:cs="Arial" w:eastAsia="Arial" w:hAnsi="Arial"/>
          <w:sz w:val="21"/>
          <w:szCs w:val="21"/>
          <w:b w:val="1"/>
          <w:bCs w:val="1"/>
          <w:color w:val="auto"/>
        </w:rPr>
        <w:t>Agent</w:t>
      </w:r>
      <w:r>
        <w:rPr>
          <w:rFonts w:ascii="Arial" w:cs="Arial" w:eastAsia="Arial" w:hAnsi="Arial"/>
          <w:sz w:val="21"/>
          <w:szCs w:val="21"/>
          <w:color w:val="auto"/>
        </w:rPr>
        <w:t>") for purposes of requesting, continuing and converting Loans (including all elections of interest rates and currencies), for</w:t>
      </w:r>
      <w:r>
        <w:rPr>
          <w:rFonts w:ascii="Arial" w:cs="Arial" w:eastAsia="Arial" w:hAnsi="Arial"/>
          <w:sz w:val="21"/>
          <w:szCs w:val="21"/>
          <w:b w:val="1"/>
          <w:bCs w:val="1"/>
          <w:color w:val="auto"/>
        </w:rPr>
        <w:t xml:space="preserve"> </w:t>
      </w:r>
      <w:r>
        <w:rPr>
          <w:rFonts w:ascii="Arial" w:cs="Arial" w:eastAsia="Arial" w:hAnsi="Arial"/>
          <w:sz w:val="21"/>
          <w:szCs w:val="21"/>
          <w:color w:val="auto"/>
        </w:rPr>
        <w:t>delivering notices as to prepayments and commitment reductions and for providing consents pursuant to Sections 12.8.2(i) and 12.8.2(iii) [Assignments by Lenders]. The Administrative Agent shall be entitled to rely in such matters on all communications delivered by the Borrower Agent as being delivered on behalf of all Borrowers.</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12.14 </w:t>
      </w:r>
      <w:r>
        <w:rPr>
          <w:rFonts w:ascii="Arial" w:cs="Arial" w:eastAsia="Arial" w:hAnsi="Arial"/>
          <w:sz w:val="19"/>
          <w:szCs w:val="19"/>
          <w:u w:val="single" w:color="auto"/>
          <w:color w:val="auto"/>
        </w:rPr>
        <w:t>Foreign Loan Parties.</w:t>
      </w:r>
      <w:r>
        <w:rPr>
          <w:rFonts w:ascii="Arial" w:cs="Arial" w:eastAsia="Arial" w:hAnsi="Arial"/>
          <w:sz w:val="19"/>
          <w:szCs w:val="19"/>
          <w:color w:val="auto"/>
        </w:rPr>
        <w:t xml:space="preserve"> The Loan Parties shall be jointly and severally liable on a solidarity basis for the Obligations. Without limiting the generality of the foregoing, each of the Loan Parties hereby acknowledges and agrees that any and all actions, inactions or omissions by any one or more, or all, of the Loan Parties in connection with, related to or otherwise affecting this Agreement or any of the other Loan Documents are the obligations of, and inure to and are binding upon, each and all of the Loan Parties, jointly and severally and on a solidarity basis. Notwithstanding the foregoing or anything in this Agreement or any of the Loan Documents to the contrary, the parties intend that this Agreement shall in all circumstances be interpreted to provide and by virtue of the operation of this Section 12.14, this Agreement does hereby provide that each Foreign Loan Party is liable only for Loans made to the Foreign Borrowers, interest on such Loans, each Foreign Borrower's reimbursement obligations with respect to any Letter of Credit issued for its account and for the account of its Subsidiaries and its ratable share of any of the other Obligations, including, without limitation, general fees, reimbursements, indemnities and charges hereunder and under any other Loan Document that are attributable, or attributed as a ratable share, to it. Nothing in this Agreement or in any other Loan Document or in this Section 12.14 (including, but not limited to provisions which purport to impose joint and several liability on one or more Foreign Borrowers) shall be deemed or operate to cause any Foreign Loan Party to guaranty or assume liability with respect to a Loan made to a Domestic Loan Party or any other Foreign Loan Party outside its country of organization and jurisdiction, any Letters of Credit issued for the account of such Loan Party or other Obligation for which such Loan Party is the primary obligor. Nothing in this Section 12.14 is intended to limit, nor shall it be deemed to limit, any of the liability of the Company or any other Domestic Loan Party for any of the Obligations, whether in its primary capacity as a Borrower, as a Guarantor, at law or otherwise. Subject to the limitation of liability of Foreign Loan Parties as expressly set forth in this Section 12.14, all Obligations of the Borrowers and Guarantors are joint and several.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12.15 </w:t>
      </w:r>
      <w:r>
        <w:rPr>
          <w:rFonts w:ascii="Arial" w:cs="Arial" w:eastAsia="Arial" w:hAnsi="Arial"/>
          <w:sz w:val="22"/>
          <w:szCs w:val="22"/>
          <w:u w:val="single" w:color="auto"/>
          <w:color w:val="auto"/>
        </w:rPr>
        <w:t>Joinder of Borrowers and Guarantors</w:t>
      </w:r>
      <w:r>
        <w:rPr>
          <w:rFonts w:ascii="Arial" w:cs="Arial" w:eastAsia="Arial" w:hAnsi="Arial"/>
          <w:sz w:val="22"/>
          <w:szCs w:val="22"/>
          <w:color w:val="auto"/>
        </w:rPr>
        <w:t>. (i) Each Material Subsidiary of the Company that is acquired, formed or in existence after the Closing Date, shall be required to become a Borrower or a Guarantor hereunder, as determined by the Administrative Agent.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- 116 -</w:t>
      </w:r>
    </w:p>
    <w:p>
      <w:pPr>
        <w:sectPr>
          <w:pgSz w:w="11900" w:h="16838" w:orient="portrait"/>
          <w:cols w:equalWidth="0" w:num="1">
            <w:col w:w="11340"/>
          </w:cols>
          <w:pgMar w:left="320" w:top="1428" w:right="239" w:bottom="1440" w:gutter="0" w:footer="0" w:header="0"/>
        </w:sectPr>
      </w:pPr>
    </w:p>
    <w:bookmarkStart w:id="130" w:name="page131"/>
    <w:bookmarkEnd w:id="130"/>
    <w:p>
      <w:pPr>
        <w:jc w:val="both"/>
        <w:ind w:left="80"/>
        <w:spacing w:after="0" w:line="284" w:lineRule="auto"/>
        <w:rPr>
          <w:sz w:val="20"/>
          <w:szCs w:val="20"/>
          <w:color w:val="auto"/>
        </w:rPr>
      </w:pPr>
      <w:r>
        <w:rPr>
          <w:rFonts w:ascii="Arial" w:cs="Arial" w:eastAsia="Arial" w:hAnsi="Arial"/>
          <w:sz w:val="19"/>
          <w:szCs w:val="19"/>
          <w:color w:val="auto"/>
        </w:rPr>
        <w:t>Non-Material Foreign Subsidiary that is acquired, formed or in existence after the Closing Date shall, at the election of the Loan Parties, either (A) join this Agreement as a Loan Party or (B) the investment in such Non-Material Foreign Subsidiary shall be subject to the limitation on investments set forth in Section 8.2.4(viii) [Loans and Investments] hereof. Each Subsidiary required or electing to join this Agreement as a Borrower or Guarantor, or any Immaterial Subsidiary which becomes a Material Subsidiary hereunder, shall, in each case, execute and deliver to the Administrative Agent within thirty (30) days (unless such time period is extended in writing by the Administrative Agent) after the date of organization or acquisition of (or in the case of a Non-Material Foreign Subsidiary, election by) such Subsidiary, or after the date such Immaterial Subsidiary becomes a Material Subsidiary, (i) a Borrower Joinder or a Guarantor Joinder, as applicable, pursuant to which it shall, after acceptance of such Borrower Joinder or Guarantor Joinder by the Administrative Agent, join this Agreement as a Domestic Borrower, Foreign Borrower, Domestic Guarantor or a Foreign Guarantor, as applicable, and join each of the other Loan Documents to which the Domestic Borrower, Foreign Borrower, Domestic Guarantor or a Foreign Guarantor, as applicable, are parties, (ii) documents in the forms described in Section 7.1 [First Loans and Letters of Credit] (or foreign jurisdictional equivalents, if any), modified as appropriate to relate to such Subsidiary, and (iii) documents necessary to pledge, grant and perfect Prior Security Interests to the Administrative Agent for the benefit of the Lenders in the equity interests of such Subsidiary and in its Collateral (including, without limitation, a pledge of the equity interests of any Domestic Subsidiary of such Subsidiary) held by such Subsidiary. The Loan Parties and any Borrower and/or Guarantor joining this Agreement shall also (x) deliver to the Administrative Agent such amendments or other modifications to the Loan Documents, fully executed by the appropriate parties thereto, that the Administrative Agent deems necessary or appropriate in connection with the addition of such Borrower and/or Guarantor and (y) provide to the Administrative Agent and the Lenders such other items and shall have satisfied such other conditions as may be reasonably required by the Administrative Agent or the Lenders. Notwithstanding the foregoing, the Administrative Agent may release any Subsidiary of its obligations as a Guarantor or Borrower in the event the Administrative Agent makes the reasonable determination that any such Subsidiary no longer constitutes a Material Subsidiary. No Foreign Borrower or Foreign Guarantor may be joined pursuant to this Section 12.15 if its inclusion as a Borrower or a Guarantor, as applicable, under the Loan Documents would result in any adverse tax or other legal consequences for the Lenders, as reasonably determined by the Administrative Agent. Joinder of each new Borrower or Guarantor pursuant to this Section 12.15 shall be subject to compliance with all the other terms and conditions set forth in this Agreement and the other Loan Documents, including without limitation Section 8.1.7 [Compliance with Laws; Use of Proceeds] and Section 5.9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110490</wp:posOffset>
            </wp:positionV>
            <wp:extent cx="34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12.16 </w:t>
      </w:r>
      <w:r>
        <w:rPr>
          <w:rFonts w:ascii="Arial" w:cs="Arial" w:eastAsia="Arial" w:hAnsi="Arial"/>
          <w:sz w:val="22"/>
          <w:szCs w:val="22"/>
          <w:u w:val="single" w:color="auto"/>
          <w:color w:val="auto"/>
        </w:rPr>
        <w:t>Increase in Commitments.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12.16.1 </w:t>
      </w:r>
      <w:r>
        <w:rPr>
          <w:rFonts w:ascii="Arial" w:cs="Arial" w:eastAsia="Arial" w:hAnsi="Arial"/>
          <w:sz w:val="19"/>
          <w:szCs w:val="19"/>
          <w:u w:val="single" w:color="auto"/>
          <w:color w:val="auto"/>
        </w:rPr>
        <w:t>Increasing Lenders and New Lenders</w:t>
      </w:r>
      <w:r>
        <w:rPr>
          <w:rFonts w:ascii="Arial" w:cs="Arial" w:eastAsia="Arial" w:hAnsi="Arial"/>
          <w:sz w:val="19"/>
          <w:szCs w:val="19"/>
          <w:color w:val="auto"/>
        </w:rPr>
        <w:t>. The Borrowers may at any time, but not more than two (2) times prior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 or Maturity Date, as applicable,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- 117 -</w:t>
      </w:r>
    </w:p>
    <w:p>
      <w:pPr>
        <w:sectPr>
          <w:pgSz w:w="11900" w:h="16838" w:orient="portrait"/>
          <w:cols w:equalWidth="0" w:num="1">
            <w:col w:w="11420"/>
          </w:cols>
          <w:pgMar w:left="240" w:top="1428" w:right="239" w:bottom="1440" w:gutter="0" w:footer="0" w:header="0"/>
        </w:sectPr>
      </w:pPr>
    </w:p>
    <w:bookmarkStart w:id="131" w:name="page132"/>
    <w:bookmarkEnd w:id="131"/>
    <w:p>
      <w:pPr>
        <w:jc w:val="both"/>
        <w:ind w:firstLine="656"/>
        <w:spacing w:after="0" w:line="256" w:lineRule="auto"/>
        <w:tabs>
          <w:tab w:leader="none" w:pos="942" w:val="left"/>
        </w:tabs>
        <w:numPr>
          <w:ilvl w:val="0"/>
          <w:numId w:val="98"/>
        </w:numPr>
        <w:rPr>
          <w:rFonts w:ascii="Arial" w:cs="Arial" w:eastAsia="Arial" w:hAnsi="Arial"/>
          <w:sz w:val="22"/>
          <w:szCs w:val="22"/>
          <w:color w:val="auto"/>
        </w:rPr>
      </w:pPr>
      <w:r>
        <w:rPr>
          <w:rFonts w:ascii="Arial" w:cs="Arial" w:eastAsia="Arial" w:hAnsi="Arial"/>
          <w:sz w:val="22"/>
          <w:szCs w:val="22"/>
          <w:color w:val="auto"/>
        </w:rPr>
        <w:t>one or more incremental term loan commitments (any such incremental term loan commitment, an "</w:t>
      </w:r>
      <w:r>
        <w:rPr>
          <w:rFonts w:ascii="Arial" w:cs="Arial" w:eastAsia="Arial" w:hAnsi="Arial"/>
          <w:sz w:val="22"/>
          <w:szCs w:val="22"/>
          <w:b w:val="1"/>
          <w:bCs w:val="1"/>
          <w:color w:val="auto"/>
        </w:rPr>
        <w:t>Incremental Term</w:t>
      </w:r>
      <w:r>
        <w:rPr>
          <w:rFonts w:ascii="Arial" w:cs="Arial" w:eastAsia="Arial" w:hAnsi="Arial"/>
          <w:sz w:val="22"/>
          <w:szCs w:val="22"/>
          <w:color w:val="auto"/>
        </w:rPr>
        <w:t xml:space="preserve"> </w:t>
      </w:r>
      <w:r>
        <w:rPr>
          <w:rFonts w:ascii="Arial" w:cs="Arial" w:eastAsia="Arial" w:hAnsi="Arial"/>
          <w:sz w:val="22"/>
          <w:szCs w:val="22"/>
          <w:b w:val="1"/>
          <w:bCs w:val="1"/>
          <w:color w:val="auto"/>
        </w:rPr>
        <w:t>Loan Commitment</w:t>
      </w:r>
      <w:r>
        <w:rPr>
          <w:rFonts w:ascii="Arial" w:cs="Arial" w:eastAsia="Arial" w:hAnsi="Arial"/>
          <w:sz w:val="22"/>
          <w:szCs w:val="22"/>
          <w:color w:val="auto"/>
        </w:rPr>
        <w:t>") to make</w:t>
      </w:r>
      <w:r>
        <w:rPr>
          <w:rFonts w:ascii="Arial" w:cs="Arial" w:eastAsia="Arial" w:hAnsi="Arial"/>
          <w:sz w:val="22"/>
          <w:szCs w:val="22"/>
          <w:b w:val="1"/>
          <w:bCs w:val="1"/>
          <w:color w:val="auto"/>
        </w:rPr>
        <w:t xml:space="preserve"> [one or more/an] </w:t>
      </w:r>
      <w:r>
        <w:rPr>
          <w:rFonts w:ascii="Arial" w:cs="Arial" w:eastAsia="Arial" w:hAnsi="Arial"/>
          <w:sz w:val="22"/>
          <w:szCs w:val="22"/>
          <w:color w:val="auto"/>
        </w:rPr>
        <w:t>additional term loan (any such additional term loan, an "</w:t>
      </w:r>
      <w:r>
        <w:rPr>
          <w:rFonts w:ascii="Arial" w:cs="Arial" w:eastAsia="Arial" w:hAnsi="Arial"/>
          <w:sz w:val="22"/>
          <w:szCs w:val="22"/>
          <w:b w:val="1"/>
          <w:bCs w:val="1"/>
          <w:color w:val="auto"/>
        </w:rPr>
        <w:t>Incremental Term Loan</w:t>
      </w:r>
      <w:r>
        <w:rPr>
          <w:rFonts w:ascii="Arial" w:cs="Arial" w:eastAsia="Arial" w:hAnsi="Arial"/>
          <w:sz w:val="22"/>
          <w:szCs w:val="22"/>
          <w:color w:val="auto"/>
        </w:rPr>
        <w:t>"); or</w:t>
      </w:r>
    </w:p>
    <w:p>
      <w:pPr>
        <w:spacing w:after="0" w:line="176" w:lineRule="exact"/>
        <w:rPr>
          <w:rFonts w:ascii="Arial" w:cs="Arial" w:eastAsia="Arial" w:hAnsi="Arial"/>
          <w:sz w:val="22"/>
          <w:szCs w:val="22"/>
          <w:color w:val="auto"/>
        </w:rPr>
      </w:pPr>
    </w:p>
    <w:p>
      <w:pPr>
        <w:jc w:val="both"/>
        <w:ind w:firstLine="656"/>
        <w:spacing w:after="0" w:line="267" w:lineRule="auto"/>
        <w:tabs>
          <w:tab w:leader="none" w:pos="968" w:val="left"/>
        </w:tabs>
        <w:numPr>
          <w:ilvl w:val="0"/>
          <w:numId w:val="98"/>
        </w:numPr>
        <w:rPr>
          <w:rFonts w:ascii="Arial" w:cs="Arial" w:eastAsia="Arial" w:hAnsi="Arial"/>
          <w:sz w:val="21"/>
          <w:szCs w:val="21"/>
          <w:color w:val="auto"/>
        </w:rPr>
      </w:pPr>
      <w:r>
        <w:rPr>
          <w:rFonts w:ascii="Arial" w:cs="Arial" w:eastAsia="Arial" w:hAnsi="Arial"/>
          <w:sz w:val="21"/>
          <w:szCs w:val="21"/>
          <w:color w:val="auto"/>
        </w:rPr>
        <w:t>one or more increases in the Revolving Credit Commitments (any such increase, an "</w:t>
      </w:r>
      <w:r>
        <w:rPr>
          <w:rFonts w:ascii="Arial" w:cs="Arial" w:eastAsia="Arial" w:hAnsi="Arial"/>
          <w:sz w:val="21"/>
          <w:szCs w:val="21"/>
          <w:b w:val="1"/>
          <w:bCs w:val="1"/>
          <w:color w:val="auto"/>
        </w:rPr>
        <w:t>Incremental Revolving Credit</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and, together with the Incremental Term Loan Commitments, the "</w:t>
      </w:r>
      <w:r>
        <w:rPr>
          <w:rFonts w:ascii="Arial" w:cs="Arial" w:eastAsia="Arial" w:hAnsi="Arial"/>
          <w:sz w:val="21"/>
          <w:szCs w:val="21"/>
          <w:b w:val="1"/>
          <w:bCs w:val="1"/>
          <w:color w:val="auto"/>
        </w:rPr>
        <w:t>Incremental Commitments</w:t>
      </w:r>
      <w:r>
        <w:rPr>
          <w:rFonts w:ascii="Arial" w:cs="Arial" w:eastAsia="Arial" w:hAnsi="Arial"/>
          <w:sz w:val="21"/>
          <w:szCs w:val="21"/>
          <w:color w:val="auto"/>
        </w:rPr>
        <w:t>") to make revolving</w:t>
      </w:r>
      <w:r>
        <w:rPr>
          <w:rFonts w:ascii="Arial" w:cs="Arial" w:eastAsia="Arial" w:hAnsi="Arial"/>
          <w:sz w:val="21"/>
          <w:szCs w:val="21"/>
          <w:b w:val="1"/>
          <w:bCs w:val="1"/>
          <w:color w:val="auto"/>
        </w:rPr>
        <w:t xml:space="preserve"> </w:t>
      </w:r>
      <w:r>
        <w:rPr>
          <w:rFonts w:ascii="Arial" w:cs="Arial" w:eastAsia="Arial" w:hAnsi="Arial"/>
          <w:sz w:val="21"/>
          <w:szCs w:val="21"/>
          <w:color w:val="auto"/>
        </w:rPr>
        <w:t>credit loans under the Revolving Credit Facility (any such increase, an "</w:t>
      </w:r>
      <w:r>
        <w:rPr>
          <w:rFonts w:ascii="Arial" w:cs="Arial" w:eastAsia="Arial" w:hAnsi="Arial"/>
          <w:sz w:val="21"/>
          <w:szCs w:val="21"/>
          <w:b w:val="1"/>
          <w:bCs w:val="1"/>
          <w:color w:val="auto"/>
        </w:rPr>
        <w:t>Incremental Revolving Credit Increase</w:t>
      </w:r>
      <w:r>
        <w:rPr>
          <w:rFonts w:ascii="Arial" w:cs="Arial" w:eastAsia="Arial" w:hAnsi="Arial"/>
          <w:sz w:val="21"/>
          <w:szCs w:val="21"/>
          <w:color w:val="auto"/>
        </w:rPr>
        <w:t>" and, together with the Incremental Term Loans, the "</w:t>
      </w:r>
      <w:r>
        <w:rPr>
          <w:rFonts w:ascii="Arial" w:cs="Arial" w:eastAsia="Arial" w:hAnsi="Arial"/>
          <w:sz w:val="21"/>
          <w:szCs w:val="21"/>
          <w:b w:val="1"/>
          <w:bCs w:val="1"/>
          <w:color w:val="auto"/>
        </w:rPr>
        <w:t>Incremental Loans</w:t>
      </w:r>
      <w:r>
        <w:rPr>
          <w:rFonts w:ascii="Arial" w:cs="Arial" w:eastAsia="Arial" w:hAnsi="Arial"/>
          <w:sz w:val="21"/>
          <w:szCs w:val="21"/>
          <w:color w:val="auto"/>
        </w:rPr>
        <w:t>");</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and, in each case of clause (a) and (b) above, from the existing Lenders (each an "</w:t>
      </w:r>
      <w:r>
        <w:rPr>
          <w:rFonts w:ascii="Arial" w:cs="Arial" w:eastAsia="Arial" w:hAnsi="Arial"/>
          <w:sz w:val="22"/>
          <w:szCs w:val="22"/>
          <w:b w:val="1"/>
          <w:bCs w:val="1"/>
          <w:color w:val="auto"/>
        </w:rPr>
        <w:t>Increasing Lender</w:t>
      </w:r>
      <w:r>
        <w:rPr>
          <w:rFonts w:ascii="Arial" w:cs="Arial" w:eastAsia="Arial" w:hAnsi="Arial"/>
          <w:sz w:val="22"/>
          <w:szCs w:val="22"/>
          <w:color w:val="auto"/>
        </w:rPr>
        <w:t>") and/or one or more new lenders who will join this Agreement and become Lenders in connection therewith (each a "</w:t>
      </w:r>
      <w:r>
        <w:rPr>
          <w:rFonts w:ascii="Arial" w:cs="Arial" w:eastAsia="Arial" w:hAnsi="Arial"/>
          <w:sz w:val="22"/>
          <w:szCs w:val="22"/>
          <w:b w:val="1"/>
          <w:bCs w:val="1"/>
          <w:color w:val="auto"/>
        </w:rPr>
        <w:t>New Lender</w:t>
      </w:r>
      <w:r>
        <w:rPr>
          <w:rFonts w:ascii="Arial" w:cs="Arial" w:eastAsia="Arial" w:hAnsi="Arial"/>
          <w:sz w:val="22"/>
          <w:szCs w:val="22"/>
          <w:color w:val="auto"/>
        </w:rPr>
        <w:t>" and together with each Increasing Lender, the "</w:t>
      </w:r>
      <w:r>
        <w:rPr>
          <w:rFonts w:ascii="Arial" w:cs="Arial" w:eastAsia="Arial" w:hAnsi="Arial"/>
          <w:sz w:val="22"/>
          <w:szCs w:val="22"/>
          <w:b w:val="1"/>
          <w:bCs w:val="1"/>
          <w:color w:val="auto"/>
        </w:rPr>
        <w:t>Incremental Lenders</w:t>
      </w:r>
      <w:r>
        <w:rPr>
          <w:rFonts w:ascii="Arial" w:cs="Arial" w:eastAsia="Arial" w:hAnsi="Arial"/>
          <w:sz w:val="22"/>
          <w:szCs w:val="22"/>
          <w:color w:val="auto"/>
        </w:rPr>
        <w:t>"), subject to the following:</w:t>
      </w:r>
    </w:p>
    <w:p>
      <w:pPr>
        <w:spacing w:after="0" w:line="182" w:lineRule="exact"/>
        <w:rPr>
          <w:sz w:val="20"/>
          <w:szCs w:val="20"/>
          <w:color w:val="auto"/>
        </w:rPr>
      </w:pPr>
    </w:p>
    <w:p>
      <w:pPr>
        <w:ind w:left="660" w:right="660" w:firstLine="1779"/>
        <w:spacing w:after="0" w:line="253" w:lineRule="auto"/>
        <w:tabs>
          <w:tab w:leader="none" w:pos="2737"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No Obligation to Increase</w:t>
      </w:r>
      <w:r>
        <w:rPr>
          <w:rFonts w:ascii="Arial" w:cs="Arial" w:eastAsia="Arial" w:hAnsi="Arial"/>
          <w:sz w:val="22"/>
          <w:szCs w:val="22"/>
          <w:color w:val="auto"/>
        </w:rPr>
        <w:t>. No current Lender shall be obligated to provide an Incremental Commitment, and any Incremental Commitment by any current Lender shall be in the sole discretion of such current Lender;</w:t>
      </w:r>
    </w:p>
    <w:p>
      <w:pPr>
        <w:spacing w:after="0" w:line="185" w:lineRule="exact"/>
        <w:rPr>
          <w:rFonts w:ascii="Arial" w:cs="Arial" w:eastAsia="Arial" w:hAnsi="Arial"/>
          <w:sz w:val="22"/>
          <w:szCs w:val="22"/>
          <w:color w:val="auto"/>
        </w:rPr>
      </w:pPr>
    </w:p>
    <w:p>
      <w:pPr>
        <w:jc w:val="both"/>
        <w:ind w:left="660" w:right="20" w:firstLine="1779"/>
        <w:spacing w:after="0" w:line="253" w:lineRule="auto"/>
        <w:tabs>
          <w:tab w:leader="none" w:pos="2762"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Defaults</w:t>
      </w:r>
      <w:r>
        <w:rPr>
          <w:rFonts w:ascii="Arial" w:cs="Arial" w:eastAsia="Arial" w:hAnsi="Arial"/>
          <w:sz w:val="22"/>
          <w:szCs w:val="22"/>
          <w:color w:val="auto"/>
        </w:rPr>
        <w:t>. There shall exist no Event of Default or, unless consented to by the Required Lenders, Potential Default on the date of such request and/or the effective date of such increase, either before or after giving effect to such increase;</w:t>
      </w:r>
    </w:p>
    <w:p>
      <w:pPr>
        <w:spacing w:after="0" w:line="185" w:lineRule="exact"/>
        <w:rPr>
          <w:rFonts w:ascii="Arial" w:cs="Arial" w:eastAsia="Arial" w:hAnsi="Arial"/>
          <w:sz w:val="22"/>
          <w:szCs w:val="22"/>
          <w:color w:val="auto"/>
        </w:rPr>
      </w:pPr>
    </w:p>
    <w:p>
      <w:pPr>
        <w:jc w:val="both"/>
        <w:ind w:left="660" w:firstLine="1779"/>
        <w:spacing w:after="0" w:line="253" w:lineRule="auto"/>
        <w:tabs>
          <w:tab w:leader="none" w:pos="2737"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Aggregate Revolving Credit Commitments</w:t>
      </w:r>
      <w:r>
        <w:rPr>
          <w:rFonts w:ascii="Arial" w:cs="Arial" w:eastAsia="Arial" w:hAnsi="Arial"/>
          <w:sz w:val="22"/>
          <w:szCs w:val="22"/>
          <w:color w:val="auto"/>
        </w:rPr>
        <w:t>. After giving effect to each such increase, the aggregate amount of the Incremental Commitments shall not exceed $50,000,000, and the total Commitments shall not exceed $215,000,000;</w:t>
      </w:r>
    </w:p>
    <w:p>
      <w:pPr>
        <w:spacing w:after="0" w:line="185" w:lineRule="exact"/>
        <w:rPr>
          <w:rFonts w:ascii="Arial" w:cs="Arial" w:eastAsia="Arial" w:hAnsi="Arial"/>
          <w:sz w:val="22"/>
          <w:szCs w:val="22"/>
          <w:color w:val="auto"/>
        </w:rPr>
      </w:pPr>
    </w:p>
    <w:p>
      <w:pPr>
        <w:jc w:val="both"/>
        <w:ind w:left="660" w:firstLine="1779"/>
        <w:spacing w:after="0" w:line="291" w:lineRule="auto"/>
        <w:tabs>
          <w:tab w:leader="none" w:pos="2762"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Resolutions; Opinion</w:t>
      </w:r>
      <w:r>
        <w:rPr>
          <w:rFonts w:ascii="Arial" w:cs="Arial" w:eastAsia="Arial" w:hAnsi="Arial"/>
          <w:sz w:val="19"/>
          <w:szCs w:val="19"/>
          <w:color w:val="auto"/>
        </w:rPr>
        <w:t>. The Loan Parties shall deliver to the Administrative Agent on or before the effective date of such increase the following documents in a form reasonably acceptable to the Administrative Agent:</w:t>
      </w:r>
    </w:p>
    <w:p>
      <w:pPr>
        <w:spacing w:after="0" w:line="1" w:lineRule="exact"/>
        <w:rPr>
          <w:rFonts w:ascii="Arial" w:cs="Arial" w:eastAsia="Arial" w:hAnsi="Arial"/>
          <w:sz w:val="19"/>
          <w:szCs w:val="19"/>
          <w:color w:val="auto"/>
        </w:rPr>
      </w:pPr>
    </w:p>
    <w:p>
      <w:pPr>
        <w:jc w:val="both"/>
        <w:ind w:left="660" w:hanging="4"/>
        <w:spacing w:after="0" w:line="244" w:lineRule="auto"/>
        <w:tabs>
          <w:tab w:leader="none" w:pos="98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certifications of their corporate secretaries (or foreign jurisdiction equivalent) with attached resolutions certifying that the increase in the Revolving Credit Commitment has been approved by such Loan Parties, and (2) opinions of domestic and foreign counsel (as applicable) in form satisfactory to the Administrative Agent, addressed to the Administrative Agent and the Lenders addressing the authorization and execution of the Loan Documents by, and enforceability of the Loan Documents against, the Loan Parties;</w:t>
      </w:r>
    </w:p>
    <w:p>
      <w:pPr>
        <w:spacing w:after="0" w:line="195" w:lineRule="exact"/>
        <w:rPr>
          <w:rFonts w:ascii="Arial" w:cs="Arial" w:eastAsia="Arial" w:hAnsi="Arial"/>
          <w:sz w:val="22"/>
          <w:szCs w:val="22"/>
          <w:color w:val="auto"/>
        </w:rPr>
      </w:pPr>
    </w:p>
    <w:p>
      <w:pPr>
        <w:jc w:val="both"/>
        <w:ind w:left="660" w:firstLine="1779"/>
        <w:spacing w:after="0" w:line="246" w:lineRule="auto"/>
        <w:tabs>
          <w:tab w:leader="none" w:pos="2737"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The Borrowers shall execute and deliver (1) to each Increasing Lender that shall so request a replacement Note or Notes, as applicable, reflecting the new amount of such Increasing Lender's Revolving Credit Commitment and/or Term Loan Commitment, as applicable, after giving effect to the increase (and the prior Note issued to such Increasing Lender shall be deemed to be terminated) and (2) to each New Lender a Note or Notes reflecting the amount of such New Lender's Revolving Credit Commitment and/or Term Loan Commitment, as applicable; provided that such replacement Note(s) shall not be intended to constitute and shall not constitute a novation or satisfaction of the obligations represented by the prior Note.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4" w:lineRule="exact"/>
        <w:rPr>
          <w:rFonts w:ascii="Arial" w:cs="Arial" w:eastAsia="Arial" w:hAnsi="Arial"/>
          <w:sz w:val="22"/>
          <w:szCs w:val="22"/>
          <w:color w:val="auto"/>
        </w:rPr>
      </w:pPr>
    </w:p>
    <w:p>
      <w:pPr>
        <w:ind w:left="5560" w:hanging="130"/>
        <w:spacing w:after="0"/>
        <w:tabs>
          <w:tab w:leader="none" w:pos="556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118 -</w:t>
      </w:r>
    </w:p>
    <w:p>
      <w:pPr>
        <w:sectPr>
          <w:pgSz w:w="11900" w:h="16838" w:orient="portrait"/>
          <w:cols w:equalWidth="0" w:num="1">
            <w:col w:w="11420"/>
          </w:cols>
          <w:pgMar w:left="240" w:top="1422" w:right="239" w:bottom="1440" w:gutter="0" w:footer="0" w:header="0"/>
        </w:sectPr>
      </w:pPr>
    </w:p>
    <w:bookmarkStart w:id="132" w:name="page133"/>
    <w:bookmarkEnd w:id="132"/>
    <w:p>
      <w:pPr>
        <w:jc w:val="both"/>
        <w:ind w:left="4" w:firstLine="1779"/>
        <w:spacing w:after="0" w:line="250" w:lineRule="auto"/>
        <w:tabs>
          <w:tab w:leader="none" w:pos="2056"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Approval of New Lenders</w:t>
      </w:r>
      <w:r>
        <w:rPr>
          <w:rFonts w:ascii="Arial" w:cs="Arial" w:eastAsia="Arial" w:hAnsi="Arial"/>
          <w:sz w:val="22"/>
          <w:szCs w:val="22"/>
          <w:color w:val="auto"/>
        </w:rPr>
        <w:t>. Any New Lender shall be subject to the approval of the Administrative Agent (which approval shall not be unreasonably withheld) and the Company (which approval shall not be unreasonably withheld) and shall not be (1) a Borrower or any of the Borrowers' Subsidiaries or Affiliates or (2) a natural person. The Commitment of any New Lender shall not be less than $10,000,000.</w:t>
      </w:r>
    </w:p>
    <w:p>
      <w:pPr>
        <w:spacing w:after="0" w:line="188" w:lineRule="exact"/>
        <w:rPr>
          <w:rFonts w:ascii="Arial" w:cs="Arial" w:eastAsia="Arial" w:hAnsi="Arial"/>
          <w:sz w:val="22"/>
          <w:szCs w:val="22"/>
          <w:color w:val="auto"/>
        </w:rPr>
      </w:pPr>
    </w:p>
    <w:p>
      <w:pPr>
        <w:jc w:val="both"/>
        <w:ind w:left="4" w:firstLine="1779"/>
        <w:spacing w:after="0" w:line="312" w:lineRule="auto"/>
        <w:tabs>
          <w:tab w:leader="none" w:pos="2187"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Increasing Lenders</w:t>
      </w:r>
      <w:r>
        <w:rPr>
          <w:rFonts w:ascii="Arial" w:cs="Arial" w:eastAsia="Arial" w:hAnsi="Arial"/>
          <w:sz w:val="19"/>
          <w:szCs w:val="19"/>
          <w:color w:val="auto"/>
        </w:rPr>
        <w:t>. Each Increasing Lender shall confirm its agreement to increase its Commitment(s) pursuant to an acknowledgement in a form acceptable to the Administrative Agent, signed by it and the Borrowers and delivered to the Administrative Agent at least five (5) days before the effective date of such increase.</w:t>
      </w:r>
    </w:p>
    <w:p>
      <w:pPr>
        <w:spacing w:after="0" w:line="133" w:lineRule="exact"/>
        <w:rPr>
          <w:rFonts w:ascii="Arial" w:cs="Arial" w:eastAsia="Arial" w:hAnsi="Arial"/>
          <w:sz w:val="19"/>
          <w:szCs w:val="19"/>
          <w:color w:val="auto"/>
        </w:rPr>
      </w:pPr>
    </w:p>
    <w:p>
      <w:pPr>
        <w:jc w:val="both"/>
        <w:ind w:left="4" w:firstLine="1779"/>
        <w:spacing w:after="0" w:line="250" w:lineRule="auto"/>
        <w:tabs>
          <w:tab w:leader="none" w:pos="2106"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New Lenders--Joinder</w:t>
      </w:r>
      <w:r>
        <w:rPr>
          <w:rFonts w:ascii="Arial" w:cs="Arial" w:eastAsia="Arial" w:hAnsi="Arial"/>
          <w:sz w:val="22"/>
          <w:szCs w:val="22"/>
          <w:color w:val="auto"/>
        </w:rPr>
        <w:t xml:space="preserve">. Each New Lender shall execute a Lender Joinder in substantially the form of </w:t>
      </w:r>
      <w:r>
        <w:rPr>
          <w:rFonts w:ascii="Arial" w:cs="Arial" w:eastAsia="Arial" w:hAnsi="Arial"/>
          <w:sz w:val="22"/>
          <w:szCs w:val="22"/>
          <w:u w:val="single" w:color="auto"/>
          <w:color w:val="auto"/>
        </w:rPr>
        <w:t>Exhibit 1.1(L)</w:t>
      </w:r>
      <w:r>
        <w:rPr>
          <w:rFonts w:ascii="Arial" w:cs="Arial" w:eastAsia="Arial" w:hAnsi="Arial"/>
          <w:sz w:val="22"/>
          <w:szCs w:val="22"/>
          <w:color w:val="auto"/>
        </w:rPr>
        <w:t xml:space="preserve"> pursuant to which such New Lender shall join and become a party to this Agreement and the other Loan Documents with a Revolving Credit Commitment and/or Term Loan Commitment, as applicable, in the amount(s) set forth in such Lender Joinder.</w:t>
      </w:r>
    </w:p>
    <w:p>
      <w:pPr>
        <w:spacing w:after="0" w:line="188" w:lineRule="exact"/>
        <w:rPr>
          <w:rFonts w:ascii="Arial" w:cs="Arial" w:eastAsia="Arial" w:hAnsi="Arial"/>
          <w:sz w:val="22"/>
          <w:szCs w:val="22"/>
          <w:color w:val="auto"/>
        </w:rPr>
      </w:pPr>
    </w:p>
    <w:p>
      <w:pPr>
        <w:ind w:left="-656" w:firstLine="656"/>
        <w:spacing w:after="0" w:line="263" w:lineRule="auto"/>
        <w:tabs>
          <w:tab w:leader="none" w:pos="29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each Incremental Loan Commitment (and the Incremental Loans made thereunder) shall constitute Obligations of the Borrower and shall be secured and guaranteed with the other Obligations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basis;</w:t>
      </w:r>
    </w:p>
    <w:p>
      <w:pPr>
        <w:spacing w:after="0" w:line="174" w:lineRule="exact"/>
        <w:rPr>
          <w:rFonts w:ascii="Arial" w:cs="Arial" w:eastAsia="Arial" w:hAnsi="Arial"/>
          <w:sz w:val="22"/>
          <w:szCs w:val="22"/>
          <w:color w:val="auto"/>
        </w:rPr>
      </w:pPr>
    </w:p>
    <w:p>
      <w:pPr>
        <w:ind w:left="2104" w:hanging="159"/>
        <w:spacing w:after="0"/>
        <w:tabs>
          <w:tab w:leader="none" w:pos="2104"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in the case of each Incremental Term Loan:</w:t>
      </w:r>
    </w:p>
    <w:p>
      <w:pPr>
        <w:spacing w:after="0" w:line="219" w:lineRule="exact"/>
        <w:rPr>
          <w:rFonts w:ascii="Arial" w:cs="Arial" w:eastAsia="Arial" w:hAnsi="Arial"/>
          <w:sz w:val="22"/>
          <w:szCs w:val="22"/>
          <w:color w:val="auto"/>
        </w:rPr>
      </w:pPr>
    </w:p>
    <w:p>
      <w:pPr>
        <w:ind w:left="1304" w:firstLine="1289"/>
        <w:spacing w:after="0" w:line="343" w:lineRule="auto"/>
        <w:tabs>
          <w:tab w:leader="none" w:pos="2908" w:val="left"/>
        </w:tabs>
        <w:numPr>
          <w:ilvl w:val="3"/>
          <w:numId w:val="102"/>
        </w:numPr>
        <w:rPr>
          <w:rFonts w:ascii="Arial" w:cs="Arial" w:eastAsia="Arial" w:hAnsi="Arial"/>
          <w:sz w:val="19"/>
          <w:szCs w:val="19"/>
          <w:color w:val="auto"/>
        </w:rPr>
      </w:pPr>
      <w:r>
        <w:rPr>
          <w:rFonts w:ascii="Arial" w:cs="Arial" w:eastAsia="Arial" w:hAnsi="Arial"/>
          <w:sz w:val="19"/>
          <w:szCs w:val="19"/>
          <w:color w:val="auto"/>
        </w:rPr>
        <w:t>such Incremental Term Loan will mature on the Maturity Date and amortize in a manner consistent with the amortization of the initial Term Loans, as determined by the Administrative Agent;</w:t>
      </w:r>
    </w:p>
    <w:p>
      <w:pPr>
        <w:spacing w:after="0" w:line="104" w:lineRule="exact"/>
        <w:rPr>
          <w:rFonts w:ascii="Arial" w:cs="Arial" w:eastAsia="Arial" w:hAnsi="Arial"/>
          <w:sz w:val="19"/>
          <w:szCs w:val="19"/>
          <w:color w:val="auto"/>
        </w:rPr>
      </w:pPr>
    </w:p>
    <w:p>
      <w:pPr>
        <w:jc w:val="both"/>
        <w:ind w:left="1304" w:firstLine="1289"/>
        <w:spacing w:after="0" w:line="253" w:lineRule="auto"/>
        <w:tabs>
          <w:tab w:leader="none" w:pos="2933" w:val="left"/>
        </w:tabs>
        <w:numPr>
          <w:ilvl w:val="3"/>
          <w:numId w:val="102"/>
        </w:numPr>
        <w:rPr>
          <w:rFonts w:ascii="Arial" w:cs="Arial" w:eastAsia="Arial" w:hAnsi="Arial"/>
          <w:sz w:val="22"/>
          <w:szCs w:val="22"/>
          <w:color w:val="auto"/>
        </w:rPr>
      </w:pPr>
      <w:r>
        <w:rPr>
          <w:rFonts w:ascii="Arial" w:cs="Arial" w:eastAsia="Arial" w:hAnsi="Arial"/>
          <w:sz w:val="22"/>
          <w:szCs w:val="22"/>
          <w:color w:val="auto"/>
        </w:rPr>
        <w:t>the Applicable Margin and pricing grid, if applicable, for such Incremental Term Loan shall be the same as the Applicable Margin for the Initial Term Loan as determined by the Administrative Agent on the date of such increase;</w:t>
      </w:r>
    </w:p>
    <w:p>
      <w:pPr>
        <w:spacing w:after="0" w:line="185" w:lineRule="exact"/>
        <w:rPr>
          <w:rFonts w:ascii="Arial" w:cs="Arial" w:eastAsia="Arial" w:hAnsi="Arial"/>
          <w:sz w:val="22"/>
          <w:szCs w:val="22"/>
          <w:color w:val="auto"/>
        </w:rPr>
      </w:pPr>
    </w:p>
    <w:p>
      <w:pPr>
        <w:jc w:val="both"/>
        <w:ind w:left="1304" w:firstLine="1289"/>
        <w:spacing w:after="0" w:line="265" w:lineRule="auto"/>
        <w:tabs>
          <w:tab w:leader="none" w:pos="2908" w:val="left"/>
        </w:tabs>
        <w:numPr>
          <w:ilvl w:val="3"/>
          <w:numId w:val="102"/>
        </w:numPr>
        <w:rPr>
          <w:rFonts w:ascii="Arial" w:cs="Arial" w:eastAsia="Arial" w:hAnsi="Arial"/>
          <w:sz w:val="21"/>
          <w:szCs w:val="21"/>
          <w:color w:val="auto"/>
        </w:rPr>
      </w:pPr>
      <w:r>
        <w:rPr>
          <w:rFonts w:ascii="Arial" w:cs="Arial" w:eastAsia="Arial" w:hAnsi="Arial"/>
          <w:sz w:val="21"/>
          <w:szCs w:val="21"/>
          <w:color w:val="auto"/>
        </w:rPr>
        <w:t>any Incremental Lender making any Incremental Term Loan shall be entitled to the same voting rights as the existing Lenders under the Term Loan Facility and each Incremental Term Loan shall receive proceeds of prepayments on the same basis as the initial Term Loans (such prepayments to be shared pro rata on the basis of the original aggregate funded amount thereof); and</w:t>
      </w:r>
    </w:p>
    <w:p>
      <w:pPr>
        <w:spacing w:after="0" w:line="175" w:lineRule="exact"/>
        <w:rPr>
          <w:rFonts w:ascii="Arial" w:cs="Arial" w:eastAsia="Arial" w:hAnsi="Arial"/>
          <w:sz w:val="21"/>
          <w:szCs w:val="21"/>
          <w:color w:val="auto"/>
        </w:rPr>
      </w:pPr>
    </w:p>
    <w:p>
      <w:pPr>
        <w:jc w:val="both"/>
        <w:ind w:left="1304" w:firstLine="1289"/>
        <w:spacing w:after="0" w:line="253" w:lineRule="auto"/>
        <w:tabs>
          <w:tab w:leader="none" w:pos="2920" w:val="left"/>
        </w:tabs>
        <w:numPr>
          <w:ilvl w:val="3"/>
          <w:numId w:val="102"/>
        </w:numPr>
        <w:rPr>
          <w:rFonts w:ascii="Arial" w:cs="Arial" w:eastAsia="Arial" w:hAnsi="Arial"/>
          <w:sz w:val="22"/>
          <w:szCs w:val="22"/>
          <w:color w:val="auto"/>
        </w:rPr>
      </w:pPr>
      <w:r>
        <w:rPr>
          <w:rFonts w:ascii="Arial" w:cs="Arial" w:eastAsia="Arial" w:hAnsi="Arial"/>
          <w:sz w:val="22"/>
          <w:szCs w:val="22"/>
          <w:color w:val="auto"/>
        </w:rPr>
        <w:t>except as provided above, all other terms and conditions applicable to such Incremental Term Loan shall, except to the extent otherwise provided in this Section 12.16, be identical to the terms and conditions applicable to the initial Term Loans.</w:t>
      </w:r>
    </w:p>
    <w:p>
      <w:pPr>
        <w:spacing w:after="0" w:line="185" w:lineRule="exact"/>
        <w:rPr>
          <w:rFonts w:ascii="Arial" w:cs="Arial" w:eastAsia="Arial" w:hAnsi="Arial"/>
          <w:sz w:val="22"/>
          <w:szCs w:val="22"/>
          <w:color w:val="auto"/>
        </w:rPr>
      </w:pPr>
    </w:p>
    <w:p>
      <w:pPr>
        <w:ind w:left="2164" w:hanging="219"/>
        <w:spacing w:after="0"/>
        <w:tabs>
          <w:tab w:leader="none" w:pos="2164"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in the case of each Incremental Revolving Credit Increase: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4904" w:hanging="130"/>
        <w:spacing w:after="0"/>
        <w:tabs>
          <w:tab w:leader="none" w:pos="4904" w:val="left"/>
        </w:tabs>
        <w:numPr>
          <w:ilvl w:val="4"/>
          <w:numId w:val="102"/>
        </w:numPr>
        <w:rPr>
          <w:rFonts w:ascii="Arial" w:cs="Arial" w:eastAsia="Arial" w:hAnsi="Arial"/>
          <w:sz w:val="22"/>
          <w:szCs w:val="22"/>
          <w:color w:val="auto"/>
        </w:rPr>
      </w:pPr>
      <w:r>
        <w:rPr>
          <w:rFonts w:ascii="Arial" w:cs="Arial" w:eastAsia="Arial" w:hAnsi="Arial"/>
          <w:sz w:val="22"/>
          <w:szCs w:val="22"/>
          <w:color w:val="auto"/>
        </w:rPr>
        <w:t>119 -</w:t>
      </w:r>
    </w:p>
    <w:p>
      <w:pPr>
        <w:sectPr>
          <w:pgSz w:w="11900" w:h="16838" w:orient="portrait"/>
          <w:cols w:equalWidth="0" w:num="1">
            <w:col w:w="10764"/>
          </w:cols>
          <w:pgMar w:left="896" w:top="1428" w:right="239" w:bottom="1440" w:gutter="0" w:footer="0" w:header="0"/>
        </w:sectPr>
      </w:pPr>
    </w:p>
    <w:bookmarkStart w:id="133" w:name="page134"/>
    <w:bookmarkEnd w:id="133"/>
    <w:p>
      <w:pPr>
        <w:jc w:val="both"/>
        <w:ind w:left="1960" w:firstLine="1289"/>
        <w:spacing w:after="0" w:line="250" w:lineRule="auto"/>
        <w:tabs>
          <w:tab w:leader="none" w:pos="355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such Incremental Revolving Credit Increase shall be part of the Revolving Credit Facility, shall mature on the Expiration Date, shall bear interest and be entitled to fees, in each case at the rate applicable to the Revolving Credit Facility, and shall otherwise be subject to the same terms and conditions as the Revolving Credit Facility;</w:t>
      </w:r>
    </w:p>
    <w:p>
      <w:pPr>
        <w:spacing w:after="0" w:line="188" w:lineRule="exact"/>
        <w:rPr>
          <w:rFonts w:ascii="Arial" w:cs="Arial" w:eastAsia="Arial" w:hAnsi="Arial"/>
          <w:sz w:val="22"/>
          <w:szCs w:val="22"/>
          <w:color w:val="auto"/>
        </w:rPr>
      </w:pPr>
    </w:p>
    <w:p>
      <w:pPr>
        <w:jc w:val="both"/>
        <w:ind w:left="1960" w:firstLine="1289"/>
        <w:spacing w:after="0" w:line="263" w:lineRule="auto"/>
        <w:tabs>
          <w:tab w:leader="none" w:pos="3616" w:val="left"/>
        </w:tabs>
        <w:numPr>
          <w:ilvl w:val="1"/>
          <w:numId w:val="103"/>
        </w:numPr>
        <w:rPr>
          <w:rFonts w:ascii="Arial" w:cs="Arial" w:eastAsia="Arial" w:hAnsi="Arial"/>
          <w:sz w:val="21"/>
          <w:szCs w:val="21"/>
          <w:color w:val="auto"/>
        </w:rPr>
      </w:pPr>
      <w:r>
        <w:rPr>
          <w:rFonts w:ascii="Arial" w:cs="Arial" w:eastAsia="Arial" w:hAnsi="Arial"/>
          <w:sz w:val="21"/>
          <w:szCs w:val="21"/>
          <w:color w:val="auto"/>
        </w:rPr>
        <w:t>any Incremental Lender making any Incremental Revolving Credit Increase shall be entitled to the same voting rights as the existing Revolving Credit Lenders under the Revolving Credit Facility and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spacing w:after="0" w:line="175" w:lineRule="exact"/>
        <w:rPr>
          <w:rFonts w:ascii="Arial" w:cs="Arial" w:eastAsia="Arial" w:hAnsi="Arial"/>
          <w:sz w:val="21"/>
          <w:szCs w:val="21"/>
          <w:color w:val="auto"/>
        </w:rPr>
      </w:pPr>
    </w:p>
    <w:p>
      <w:pPr>
        <w:jc w:val="both"/>
        <w:ind w:left="1960" w:firstLine="1289"/>
        <w:spacing w:after="0" w:line="259" w:lineRule="auto"/>
        <w:tabs>
          <w:tab w:leader="none" w:pos="355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outstanding Revolving Credit Loans and Ratable Shares of Swing Loans and Letter of Credit Obligations will be reallocated by the Administrative Agent on the applicable date of such increase among the Lenders to the Revolving Credit Facility (including the Incremental Lenders providing such Incremental Revolving Credit Increase) in accordance with their revised Ratable Shares (and the Lenders to the Revolving Credit Facility (including the Incremental Lenders providing such Incremental Revolving Credit Increase) agree to make all payments and adjustments necessary to effect such reallocation and the Borrower shall pay any and all costs required pursuant to Section 5.10 [Indemnity] in connection with such reallocation as if such reallocation were a repayment).</w:t>
      </w:r>
    </w:p>
    <w:p>
      <w:pPr>
        <w:spacing w:after="0" w:line="184" w:lineRule="exact"/>
        <w:rPr>
          <w:rFonts w:ascii="Arial" w:cs="Arial" w:eastAsia="Arial" w:hAnsi="Arial"/>
          <w:sz w:val="21"/>
          <w:szCs w:val="21"/>
          <w:color w:val="auto"/>
        </w:rPr>
      </w:pPr>
    </w:p>
    <w:p>
      <w:pPr>
        <w:jc w:val="both"/>
        <w:ind w:left="660" w:firstLine="1293"/>
        <w:spacing w:after="0" w:line="312" w:lineRule="auto"/>
        <w:tabs>
          <w:tab w:leader="none" w:pos="231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Amendment Documentation</w:t>
      </w:r>
      <w:r>
        <w:rPr>
          <w:rFonts w:ascii="Arial" w:cs="Arial" w:eastAsia="Arial" w:hAnsi="Arial"/>
          <w:sz w:val="19"/>
          <w:szCs w:val="19"/>
          <w:color w:val="auto"/>
        </w:rPr>
        <w:t>. Incremental Loan Commitments shall be effected pursuant to such amendments to this Agreement and the other Loan Documents as may be necessary or appropriate, in the opinion of the Administrative Agent, to effect the provisions of this Section 12.16, without the consent of any other Lenders; and</w:t>
      </w:r>
    </w:p>
    <w:p>
      <w:pPr>
        <w:spacing w:after="0" w:line="134" w:lineRule="exact"/>
        <w:rPr>
          <w:sz w:val="20"/>
          <w:szCs w:val="20"/>
          <w:color w:val="auto"/>
        </w:rPr>
      </w:pPr>
    </w:p>
    <w:p>
      <w:pPr>
        <w:ind w:firstLine="656"/>
        <w:spacing w:after="0" w:line="287" w:lineRule="auto"/>
        <w:tabs>
          <w:tab w:leader="none" w:pos="95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52"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21"/>
          <w:szCs w:val="21"/>
          <w:color w:val="auto"/>
        </w:rPr>
        <w:t xml:space="preserve">12.17 </w:t>
      </w:r>
      <w:r>
        <w:rPr>
          <w:rFonts w:ascii="Arial" w:cs="Arial" w:eastAsia="Arial" w:hAnsi="Arial"/>
          <w:sz w:val="21"/>
          <w:szCs w:val="21"/>
          <w:u w:val="single" w:color="auto"/>
          <w:color w:val="auto"/>
        </w:rPr>
        <w:t>No Advisory or Fiduciary Responsibility.</w:t>
      </w:r>
      <w:r>
        <w:rPr>
          <w:rFonts w:ascii="Arial" w:cs="Arial" w:eastAsia="Arial" w:hAnsi="Arial"/>
          <w:sz w:val="21"/>
          <w:szCs w:val="21"/>
          <w:color w:val="auto"/>
        </w:rPr>
        <w:t xml:space="preserve">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arranging and other services regarding this Agreement provided by the Administrative Agent and any Affiliate thereof, the Arrangers and the Lenders are arm’s-length commercial transactions between the Loan Parties and their respective Affiliates, on the one hand, and the Administrative Agent and, as applicable, its Affiliates and the Lenders and their Affiliates (solely for purposes of this Section, the Lenders and their Affiliates shall collectively be referred to as the “</w:t>
      </w:r>
      <w:r>
        <w:rPr>
          <w:rFonts w:ascii="Arial" w:cs="Arial" w:eastAsia="Arial" w:hAnsi="Arial"/>
          <w:sz w:val="21"/>
          <w:szCs w:val="21"/>
          <w:b w:val="1"/>
          <w:bCs w:val="1"/>
          <w:color w:val="auto"/>
        </w:rPr>
        <w:t>Banks</w:t>
      </w:r>
      <w:r>
        <w:rPr>
          <w:rFonts w:ascii="Arial" w:cs="Arial" w:eastAsia="Arial" w:hAnsi="Arial"/>
          <w:sz w:val="21"/>
          <w:szCs w:val="21"/>
          <w:color w:val="auto"/>
        </w:rPr>
        <w: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- 120 -</w:t>
      </w:r>
    </w:p>
    <w:p>
      <w:pPr>
        <w:sectPr>
          <w:pgSz w:w="11900" w:h="16838" w:orient="portrait"/>
          <w:cols w:equalWidth="0" w:num="1">
            <w:col w:w="11420"/>
          </w:cols>
          <w:pgMar w:left="240" w:top="1428" w:right="239" w:bottom="1440" w:gutter="0" w:footer="0" w:header="0"/>
        </w:sectPr>
      </w:pPr>
    </w:p>
    <w:bookmarkStart w:id="134" w:name="page135"/>
    <w:bookmarkEnd w:id="134"/>
    <w:p>
      <w:pPr>
        <w:jc w:val="both"/>
        <w:ind w:left="80"/>
        <w:spacing w:after="0" w:line="257" w:lineRule="auto"/>
        <w:rPr>
          <w:sz w:val="20"/>
          <w:szCs w:val="20"/>
          <w:color w:val="auto"/>
        </w:rPr>
      </w:pPr>
      <w:r>
        <w:rPr>
          <w:rFonts w:ascii="Arial" w:cs="Arial" w:eastAsia="Arial" w:hAnsi="Arial"/>
          <w:sz w:val="21"/>
          <w:szCs w:val="21"/>
          <w:color w:val="auto"/>
        </w:rPr>
        <w:t>other hand, (ii) each of the Loan Parties has consulted its own legal, accounting, regulatory and tax advisors to the extent it has deemed appropriate, and (iii) each Loan Party is capable of evaluating, and understands and accepts, the terms, risks and conditions of the transactions contemplated hereby and by the other Loan Documents; (b) (i) the Administrative Agent and its Affiliates and each Bank is and has been acting solely as a principal and, except as expressly agreed in writing by the relevant parties, has not been, is not, and will not be acting as an advisor, agent or fiduciary, for any Loan Party or any of their respective Affiliates, or any other Person and (ii) neither the Administrative Agent, any of its Affiliates nor any Bank has any obligation to any Loan Party or any of their respective Affiliates with respect to the transactions contemplated hereby except those obligations expressly set forth herein and in the other Loan Documents; and (c) the Administrative Agent and its Affiliates and the Banks may be engaged in a broad range of transactions that involve interests that differ from those of the Loan Parties and their respective Affiliates, and neither the Administrative Agent, any of its Affiliates nor any Bank has any obligation to disclose any of such interests to any Loan Party or any of their respective Affiliates. To the fullest extent permitted by law, each of the Loan Parties hereby waives and releases any claims that it may have against the Administrative Agent, any of its Affiliates or any Bank with respect to any breach or alleged breach of agency or fiduciary duty in connection with any aspect of any transactions contemplated hereby.</w:t>
      </w:r>
    </w:p>
    <w:p>
      <w:pPr>
        <w:spacing w:after="0" w:line="188" w:lineRule="exact"/>
        <w:rPr>
          <w:sz w:val="20"/>
          <w:szCs w:val="20"/>
          <w:color w:val="auto"/>
        </w:rPr>
      </w:pPr>
    </w:p>
    <w:p>
      <w:pPr>
        <w:jc w:val="both"/>
        <w:ind w:left="80" w:firstLine="648"/>
        <w:spacing w:after="0" w:line="236" w:lineRule="auto"/>
        <w:rPr>
          <w:sz w:val="20"/>
          <w:szCs w:val="20"/>
          <w:color w:val="auto"/>
        </w:rPr>
      </w:pPr>
      <w:r>
        <w:rPr>
          <w:rFonts w:ascii="Arial" w:cs="Arial" w:eastAsia="Arial" w:hAnsi="Arial"/>
          <w:sz w:val="22"/>
          <w:szCs w:val="22"/>
          <w:color w:val="auto"/>
        </w:rPr>
        <w:t xml:space="preserve">12.18 </w:t>
      </w:r>
      <w:r>
        <w:rPr>
          <w:rFonts w:ascii="Arial" w:cs="Arial" w:eastAsia="Arial" w:hAnsi="Arial"/>
          <w:sz w:val="22"/>
          <w:szCs w:val="22"/>
          <w:u w:val="single" w:color="auto"/>
          <w:color w:val="auto"/>
        </w:rPr>
        <w:t>No Novation.</w:t>
      </w:r>
      <w:r>
        <w:rPr>
          <w:rFonts w:ascii="Arial" w:cs="Arial" w:eastAsia="Arial" w:hAnsi="Arial"/>
          <w:sz w:val="22"/>
          <w:szCs w:val="22"/>
          <w:color w:val="auto"/>
        </w:rPr>
        <w:t xml:space="preserve"> </w:t>
      </w:r>
      <w:r>
        <w:rPr>
          <w:rFonts w:ascii="Arial" w:cs="Arial" w:eastAsia="Arial" w:hAnsi="Arial"/>
          <w:sz w:val="19"/>
          <w:szCs w:val="19"/>
          <w:color w:val="auto"/>
        </w:rPr>
        <w:t>THIS AGREEMENT REPLACES THE EXISTING CREDIT AGREEMENT. THIS AGREEMENT IS NOT</w:t>
      </w:r>
      <w:r>
        <w:rPr>
          <w:rFonts w:ascii="Arial" w:cs="Arial" w:eastAsia="Arial" w:hAnsi="Arial"/>
          <w:sz w:val="22"/>
          <w:szCs w:val="22"/>
          <w:color w:val="auto"/>
        </w:rPr>
        <w:t xml:space="preserve"> </w:t>
      </w:r>
      <w:r>
        <w:rPr>
          <w:rFonts w:ascii="Arial" w:cs="Arial" w:eastAsia="Arial" w:hAnsi="Arial"/>
          <w:sz w:val="19"/>
          <w:szCs w:val="19"/>
          <w:color w:val="auto"/>
        </w:rPr>
        <w:t>INTENDED TO CONSTITUTE, AND DOES NOT CONSTITUTE, A NOVATION OR SATISFACTION OF THE OBLIGATIONS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REPRESENTED BY THE EXISTING CREDIT AGREEMENT</w:t>
      </w:r>
      <w:r>
        <w:rPr>
          <w:rFonts w:ascii="Arial" w:cs="Arial" w:eastAsia="Arial" w:hAnsi="Arial"/>
          <w:sz w:val="21"/>
          <w:szCs w:val="21"/>
          <w:color w:val="auto"/>
        </w:rPr>
        <w:t>.</w:t>
      </w:r>
    </w:p>
    <w:p>
      <w:pPr>
        <w:spacing w:after="0" w:line="219" w:lineRule="exact"/>
        <w:rPr>
          <w:sz w:val="20"/>
          <w:szCs w:val="20"/>
          <w:color w:val="auto"/>
        </w:rPr>
      </w:pPr>
    </w:p>
    <w:p>
      <w:pPr>
        <w:jc w:val="both"/>
        <w:ind w:right="660" w:firstLine="648"/>
        <w:spacing w:after="0" w:line="248" w:lineRule="auto"/>
        <w:rPr>
          <w:sz w:val="20"/>
          <w:szCs w:val="20"/>
          <w:color w:val="auto"/>
        </w:rPr>
      </w:pPr>
      <w:r>
        <w:rPr>
          <w:rFonts w:ascii="Arial" w:cs="Arial" w:eastAsia="Arial" w:hAnsi="Arial"/>
          <w:sz w:val="22"/>
          <w:szCs w:val="22"/>
          <w:u w:val="single" w:color="auto"/>
          <w:color w:val="auto"/>
        </w:rPr>
        <w:t>12.19 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92" w:lineRule="exact"/>
        <w:rPr>
          <w:sz w:val="20"/>
          <w:szCs w:val="20"/>
          <w:color w:val="auto"/>
        </w:rPr>
      </w:pPr>
    </w:p>
    <w:p>
      <w:pPr>
        <w:jc w:val="both"/>
        <w:ind w:left="1300" w:right="660" w:firstLine="5"/>
        <w:spacing w:after="0" w:line="253" w:lineRule="auto"/>
        <w:tabs>
          <w:tab w:leader="none" w:pos="159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5" w:lineRule="exact"/>
        <w:rPr>
          <w:rFonts w:ascii="Arial" w:cs="Arial" w:eastAsia="Arial" w:hAnsi="Arial"/>
          <w:sz w:val="22"/>
          <w:szCs w:val="22"/>
          <w:color w:val="auto"/>
        </w:rPr>
      </w:pPr>
    </w:p>
    <w:p>
      <w:pPr>
        <w:ind w:left="1620" w:hanging="315"/>
        <w:spacing w:after="0"/>
        <w:tabs>
          <w:tab w:leader="none" w:pos="16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780" w:hanging="260"/>
        <w:spacing w:after="0"/>
        <w:tabs>
          <w:tab w:leader="none" w:pos="27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300" w:right="660" w:firstLine="1301"/>
        <w:spacing w:after="0" w:line="253" w:lineRule="auto"/>
        <w:tabs>
          <w:tab w:leader="none" w:pos="2955" w:val="left"/>
        </w:tabs>
        <w:numPr>
          <w:ilvl w:val="2"/>
          <w:numId w:val="106"/>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or a bridge institution that may be issued to it or otherwise conferred on it, and that such shares or other instruments 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560" w:hanging="134"/>
        <w:spacing w:after="0"/>
        <w:tabs>
          <w:tab w:leader="none" w:pos="5560" w:val="left"/>
        </w:tabs>
        <w:numPr>
          <w:ilvl w:val="3"/>
          <w:numId w:val="106"/>
        </w:numPr>
        <w:rPr>
          <w:rFonts w:ascii="Arial" w:cs="Arial" w:eastAsia="Arial" w:hAnsi="Arial"/>
          <w:sz w:val="22"/>
          <w:szCs w:val="22"/>
          <w:color w:val="auto"/>
        </w:rPr>
      </w:pPr>
      <w:r>
        <w:rPr>
          <w:rFonts w:ascii="Arial" w:cs="Arial" w:eastAsia="Arial" w:hAnsi="Arial"/>
          <w:sz w:val="22"/>
          <w:szCs w:val="22"/>
          <w:color w:val="auto"/>
        </w:rPr>
        <w:t>121 -</w:t>
      </w:r>
    </w:p>
    <w:p>
      <w:pPr>
        <w:sectPr>
          <w:pgSz w:w="11900" w:h="16838" w:orient="portrait"/>
          <w:cols w:equalWidth="0" w:num="1">
            <w:col w:w="11420"/>
          </w:cols>
          <w:pgMar w:left="240" w:top="1428" w:right="239" w:bottom="1440" w:gutter="0" w:footer="0" w:header="0"/>
        </w:sectPr>
      </w:pPr>
    </w:p>
    <w:bookmarkStart w:id="135" w:name="page136"/>
    <w:bookmarkEnd w:id="135"/>
    <w:p>
      <w:pPr>
        <w:ind w:left="1300" w:right="540"/>
        <w:spacing w:after="0" w:line="263" w:lineRule="auto"/>
        <w:rPr>
          <w:sz w:val="20"/>
          <w:szCs w:val="20"/>
          <w:color w:val="auto"/>
        </w:rPr>
      </w:pPr>
      <w:r>
        <w:rPr>
          <w:rFonts w:ascii="Arial" w:cs="Arial" w:eastAsia="Arial" w:hAnsi="Arial"/>
          <w:sz w:val="22"/>
          <w:szCs w:val="22"/>
          <w:color w:val="auto"/>
        </w:rPr>
        <w:t>ownership will be accepted by it in lieu of any rights with respect to any such liability under this Agreement or any other Loan Document; or</w:t>
      </w:r>
    </w:p>
    <w:p>
      <w:pPr>
        <w:spacing w:after="0" w:line="175" w:lineRule="exact"/>
        <w:rPr>
          <w:sz w:val="20"/>
          <w:szCs w:val="20"/>
          <w:color w:val="auto"/>
        </w:rPr>
      </w:pPr>
    </w:p>
    <w:p>
      <w:pPr>
        <w:ind w:left="1300" w:right="540" w:firstLine="1301"/>
        <w:spacing w:after="0" w:line="263" w:lineRule="auto"/>
        <w:tabs>
          <w:tab w:leader="none" w:pos="298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ind w:left="80" w:firstLine="648"/>
        <w:spacing w:after="0" w:line="343" w:lineRule="auto"/>
        <w:rPr>
          <w:sz w:val="20"/>
          <w:szCs w:val="20"/>
          <w:color w:val="auto"/>
        </w:rPr>
      </w:pPr>
      <w:r>
        <w:rPr>
          <w:rFonts w:ascii="Arial" w:cs="Arial" w:eastAsia="Arial" w:hAnsi="Arial"/>
          <w:sz w:val="19"/>
          <w:szCs w:val="19"/>
          <w:color w:val="auto"/>
        </w:rPr>
        <w:t xml:space="preserve">12.19 </w:t>
      </w:r>
      <w:r>
        <w:rPr>
          <w:rFonts w:ascii="Arial" w:cs="Arial" w:eastAsia="Arial" w:hAnsi="Arial"/>
          <w:sz w:val="19"/>
          <w:szCs w:val="19"/>
          <w:u w:val="single" w:color="auto"/>
          <w:color w:val="auto"/>
        </w:rPr>
        <w:t>English Language</w:t>
      </w:r>
      <w:r>
        <w:rPr>
          <w:rFonts w:ascii="Arial" w:cs="Arial" w:eastAsia="Arial" w:hAnsi="Arial"/>
          <w:sz w:val="19"/>
          <w:szCs w:val="19"/>
          <w:color w:val="auto"/>
        </w:rPr>
        <w:t>.12.20 The parties hereto confirm that this Agreement has been drawn up in the English language at their request. Les parties aux présentes confirment que le présent acte a été rédigé en langue anglaise à leur demande.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63"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IN WITNESS WHEREOF, the parties hereto, by their officers thereunto duly authorized, have executed this Agreement as of the day and year first above written as a document under seal.</w:t>
      </w:r>
    </w:p>
    <w:p>
      <w:pPr>
        <w:spacing w:after="0" w:line="209"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BORROWERS:</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L.B. FOSTER COMPANY</w:t>
      </w:r>
      <w:r>
        <w:rPr>
          <w:rFonts w:ascii="Arial" w:cs="Arial" w:eastAsia="Arial" w:hAnsi="Arial"/>
          <w:sz w:val="22"/>
          <w:szCs w:val="22"/>
          <w:color w:val="auto"/>
        </w:rPr>
        <w:t>,</w:t>
      </w:r>
    </w:p>
    <w:p>
      <w:pPr>
        <w:ind w:left="5340"/>
        <w:spacing w:after="0"/>
        <w:rPr>
          <w:sz w:val="20"/>
          <w:szCs w:val="20"/>
          <w:color w:val="auto"/>
        </w:rPr>
      </w:pPr>
      <w:r>
        <w:rPr>
          <w:rFonts w:ascii="Arial" w:cs="Arial" w:eastAsia="Arial" w:hAnsi="Arial"/>
          <w:sz w:val="22"/>
          <w:szCs w:val="22"/>
          <w:color w:val="auto"/>
        </w:rPr>
        <w:t>a Pennsylvania corporation</w:t>
      </w:r>
    </w:p>
    <w:p>
      <w:pPr>
        <w:spacing w:after="0" w:line="200" w:lineRule="exact"/>
        <w:rPr>
          <w:sz w:val="20"/>
          <w:szCs w:val="20"/>
          <w:color w:val="auto"/>
        </w:rPr>
      </w:pPr>
    </w:p>
    <w:p>
      <w:pPr>
        <w:spacing w:after="0" w:line="21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-5715</wp:posOffset>
            </wp:positionV>
            <wp:extent cx="34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5340"/>
        <w:spacing w:after="0" w:line="205" w:lineRule="auto"/>
        <w:rPr>
          <w:sz w:val="20"/>
          <w:szCs w:val="20"/>
          <w:color w:val="auto"/>
        </w:rPr>
      </w:pPr>
      <w:r>
        <w:rPr>
          <w:rFonts w:ascii="Arial" w:cs="Arial" w:eastAsia="Arial" w:hAnsi="Arial"/>
          <w:sz w:val="22"/>
          <w:szCs w:val="22"/>
          <w:color w:val="auto"/>
        </w:rPr>
        <w:t>Name: James P. Maloney</w:t>
      </w:r>
    </w:p>
    <w:p>
      <w:pPr>
        <w:ind w:left="5380"/>
        <w:spacing w:after="0"/>
        <w:tabs>
          <w:tab w:leader="none" w:pos="6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pacing w:after="0" w:line="223"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CXT INCORPORATED</w:t>
      </w:r>
      <w:r>
        <w:rPr>
          <w:rFonts w:ascii="Arial" w:cs="Arial" w:eastAsia="Arial" w:hAnsi="Arial"/>
          <w:sz w:val="22"/>
          <w:szCs w:val="22"/>
          <w:color w:val="auto"/>
        </w:rPr>
        <w:t>,</w:t>
      </w:r>
    </w:p>
    <w:p>
      <w:pPr>
        <w:ind w:left="5340"/>
        <w:spacing w:after="0"/>
        <w:rPr>
          <w:sz w:val="20"/>
          <w:szCs w:val="20"/>
          <w:color w:val="auto"/>
        </w:rPr>
      </w:pPr>
      <w:r>
        <w:rPr>
          <w:rFonts w:ascii="Arial" w:cs="Arial" w:eastAsia="Arial" w:hAnsi="Arial"/>
          <w:sz w:val="22"/>
          <w:szCs w:val="22"/>
          <w:color w:val="auto"/>
        </w:rPr>
        <w:t>a Delaware corporation</w:t>
      </w:r>
    </w:p>
    <w:p>
      <w:pPr>
        <w:spacing w:after="0" w:line="223"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SALIENT SYSTEMS, INC.</w:t>
      </w:r>
      <w:r>
        <w:rPr>
          <w:rFonts w:ascii="Arial" w:cs="Arial" w:eastAsia="Arial" w:hAnsi="Arial"/>
          <w:sz w:val="22"/>
          <w:szCs w:val="22"/>
          <w:color w:val="auto"/>
        </w:rPr>
        <w:t>,</w:t>
      </w:r>
    </w:p>
    <w:p>
      <w:pPr>
        <w:ind w:left="5340"/>
        <w:spacing w:after="0"/>
        <w:rPr>
          <w:sz w:val="20"/>
          <w:szCs w:val="20"/>
          <w:color w:val="auto"/>
        </w:rPr>
      </w:pPr>
      <w:r>
        <w:rPr>
          <w:rFonts w:ascii="Arial" w:cs="Arial" w:eastAsia="Arial" w:hAnsi="Arial"/>
          <w:sz w:val="22"/>
          <w:szCs w:val="22"/>
          <w:color w:val="auto"/>
        </w:rPr>
        <w:t>an Ohio corporation</w:t>
      </w:r>
    </w:p>
    <w:p>
      <w:pPr>
        <w:spacing w:after="0" w:line="223"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L.B. FOSTER RAIL TECHNOLOGIES, INC.</w:t>
      </w:r>
      <w:r>
        <w:rPr>
          <w:rFonts w:ascii="Arial" w:cs="Arial" w:eastAsia="Arial" w:hAnsi="Arial"/>
          <w:sz w:val="22"/>
          <w:szCs w:val="22"/>
          <w:color w:val="auto"/>
        </w:rPr>
        <w:t>,</w:t>
      </w:r>
    </w:p>
    <w:p>
      <w:pPr>
        <w:ind w:left="5340"/>
        <w:spacing w:after="0"/>
        <w:rPr>
          <w:sz w:val="20"/>
          <w:szCs w:val="20"/>
          <w:color w:val="auto"/>
        </w:rPr>
      </w:pPr>
      <w:r>
        <w:rPr>
          <w:rFonts w:ascii="Arial" w:cs="Arial" w:eastAsia="Arial" w:hAnsi="Arial"/>
          <w:sz w:val="22"/>
          <w:szCs w:val="22"/>
          <w:color w:val="auto"/>
        </w:rPr>
        <w:t>a West Virginia corporation</w:t>
      </w:r>
    </w:p>
    <w:p>
      <w:pPr>
        <w:spacing w:after="0" w:line="200" w:lineRule="exact"/>
        <w:rPr>
          <w:sz w:val="20"/>
          <w:szCs w:val="20"/>
          <w:color w:val="auto"/>
        </w:rPr>
      </w:pPr>
    </w:p>
    <w:p>
      <w:pPr>
        <w:spacing w:after="0" w:line="21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-5715</wp:posOffset>
            </wp:positionV>
            <wp:extent cx="3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5340"/>
        <w:spacing w:after="0" w:line="205" w:lineRule="auto"/>
        <w:rPr>
          <w:sz w:val="20"/>
          <w:szCs w:val="20"/>
          <w:color w:val="auto"/>
        </w:rPr>
      </w:pPr>
      <w:r>
        <w:rPr>
          <w:rFonts w:ascii="Arial" w:cs="Arial" w:eastAsia="Arial" w:hAnsi="Arial"/>
          <w:sz w:val="22"/>
          <w:szCs w:val="22"/>
          <w:color w:val="auto"/>
        </w:rPr>
        <w:t>Name: James P. Maloney</w:t>
      </w:r>
    </w:p>
    <w:p>
      <w:pPr>
        <w:ind w:left="5340"/>
        <w:spacing w:after="0" w:line="237" w:lineRule="auto"/>
        <w:tabs>
          <w:tab w:leader="none" w:pos="6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of each of the above-listed</w:t>
      </w:r>
    </w:p>
    <w:p>
      <w:pPr>
        <w:ind w:left="6040"/>
        <w:spacing w:after="0"/>
        <w:rPr>
          <w:sz w:val="20"/>
          <w:szCs w:val="20"/>
          <w:color w:val="auto"/>
        </w:rPr>
      </w:pPr>
      <w:r>
        <w:rPr>
          <w:rFonts w:ascii="Arial" w:cs="Arial" w:eastAsia="Arial" w:hAnsi="Arial"/>
          <w:sz w:val="22"/>
          <w:szCs w:val="22"/>
          <w:color w:val="auto"/>
        </w:rPr>
        <w:t>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- 122 -</w:t>
      </w:r>
    </w:p>
    <w:p>
      <w:pPr>
        <w:sectPr>
          <w:pgSz w:w="11900" w:h="16838" w:orient="portrait"/>
          <w:cols w:equalWidth="0" w:num="1">
            <w:col w:w="11300"/>
          </w:cols>
          <w:pgMar w:left="240" w:top="1428" w:right="3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BORROWERS (CONTINUED):</w:t>
      </w:r>
    </w:p>
    <w:p>
      <w:pPr>
        <w:spacing w:after="0" w:line="31" w:lineRule="exact"/>
        <w:rPr>
          <w:sz w:val="20"/>
          <w:szCs w:val="20"/>
          <w:color w:val="auto"/>
        </w:rPr>
      </w:pPr>
    </w:p>
    <w:p>
      <w:pPr>
        <w:ind w:left="3180" w:right="539"/>
        <w:spacing w:after="0" w:line="253" w:lineRule="auto"/>
        <w:rPr>
          <w:sz w:val="20"/>
          <w:szCs w:val="20"/>
          <w:color w:val="auto"/>
        </w:rPr>
      </w:pPr>
      <w:r>
        <w:rPr>
          <w:rFonts w:ascii="Arial" w:cs="Arial" w:eastAsia="Arial" w:hAnsi="Arial"/>
          <w:sz w:val="21"/>
          <w:szCs w:val="21"/>
          <w:b w:val="1"/>
          <w:bCs w:val="1"/>
          <w:color w:val="auto"/>
        </w:rPr>
        <w:t>L.B. FOSTER RAIL TECHNOLOGIES CANADA LTD.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 corporation incorporated under the laws of Canada</w:t>
      </w:r>
    </w:p>
    <w:p>
      <w:pPr>
        <w:spacing w:after="0" w:line="39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-5715</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180"/>
        <w:spacing w:after="0" w:line="205" w:lineRule="auto"/>
        <w:rPr>
          <w:sz w:val="20"/>
          <w:szCs w:val="20"/>
          <w:color w:val="auto"/>
        </w:rPr>
      </w:pPr>
      <w:r>
        <w:rPr>
          <w:rFonts w:ascii="Arial" w:cs="Arial" w:eastAsia="Arial" w:hAnsi="Arial"/>
          <w:sz w:val="22"/>
          <w:szCs w:val="22"/>
          <w:color w:val="auto"/>
        </w:rPr>
        <w:t>Name:</w:t>
      </w:r>
    </w:p>
    <w:p>
      <w:pPr>
        <w:ind w:left="3180"/>
        <w:spacing w:after="0"/>
        <w:rPr>
          <w:sz w:val="20"/>
          <w:szCs w:val="20"/>
          <w:color w:val="auto"/>
        </w:rPr>
      </w:pPr>
      <w:r>
        <w:rPr>
          <w:rFonts w:ascii="Arial" w:cs="Arial" w:eastAsia="Arial" w:hAnsi="Arial"/>
          <w:sz w:val="22"/>
          <w:szCs w:val="22"/>
          <w:color w:val="auto"/>
        </w:rPr>
        <w:t>Title:</w:t>
      </w:r>
    </w:p>
    <w:p>
      <w:pPr>
        <w:spacing w:after="0" w:line="236" w:lineRule="exact"/>
        <w:rPr>
          <w:sz w:val="20"/>
          <w:szCs w:val="20"/>
          <w:color w:val="auto"/>
        </w:rPr>
      </w:pPr>
    </w:p>
    <w:p>
      <w:pPr>
        <w:ind w:left="3180" w:right="1239"/>
        <w:spacing w:after="0" w:line="305" w:lineRule="auto"/>
        <w:rPr>
          <w:sz w:val="20"/>
          <w:szCs w:val="20"/>
          <w:color w:val="auto"/>
        </w:rPr>
      </w:pPr>
      <w:r>
        <w:rPr>
          <w:rFonts w:ascii="Arial" w:cs="Arial" w:eastAsia="Arial" w:hAnsi="Arial"/>
          <w:sz w:val="19"/>
          <w:szCs w:val="19"/>
          <w:b w:val="1"/>
          <w:bCs w:val="1"/>
          <w:color w:val="auto"/>
        </w:rPr>
        <w:t>L.B. FOSTER RAIL TECHNOLOGIES, CORP.</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corporation amalgamated under the laws of Canada</w:t>
      </w:r>
    </w:p>
    <w:p>
      <w:pPr>
        <w:spacing w:after="0" w:line="350"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-5715</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180"/>
        <w:spacing w:after="0" w:line="205" w:lineRule="auto"/>
        <w:rPr>
          <w:sz w:val="20"/>
          <w:szCs w:val="20"/>
          <w:color w:val="auto"/>
        </w:rPr>
      </w:pPr>
      <w:r>
        <w:rPr>
          <w:rFonts w:ascii="Arial" w:cs="Arial" w:eastAsia="Arial" w:hAnsi="Arial"/>
          <w:sz w:val="22"/>
          <w:szCs w:val="22"/>
          <w:color w:val="auto"/>
        </w:rPr>
        <w:t>Name:</w:t>
      </w:r>
    </w:p>
    <w:p>
      <w:pPr>
        <w:ind w:left="31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18" w:right="1440" w:bottom="1440" w:gutter="0" w:footer="0" w:header="0"/>
        </w:sectPr>
      </w:pPr>
    </w:p>
    <w:bookmarkStart w:id="137" w:name="page138"/>
    <w:bookmarkEnd w:id="137"/>
    <w:p>
      <w:pPr>
        <w:ind w:left="1000"/>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BORROWERS (CONTINUED):</w:t>
      </w:r>
    </w:p>
    <w:p>
      <w:pPr>
        <w:spacing w:after="0" w:line="31" w:lineRule="exact"/>
        <w:rPr>
          <w:sz w:val="20"/>
          <w:szCs w:val="20"/>
          <w:color w:val="auto"/>
        </w:rPr>
      </w:pPr>
    </w:p>
    <w:p>
      <w:pPr>
        <w:jc w:val="both"/>
        <w:ind w:left="3140"/>
        <w:spacing w:after="0" w:line="225" w:lineRule="auto"/>
        <w:rPr>
          <w:sz w:val="20"/>
          <w:szCs w:val="20"/>
          <w:color w:val="auto"/>
        </w:rPr>
      </w:pPr>
      <w:r>
        <w:rPr>
          <w:rFonts w:ascii="Arial" w:cs="Arial" w:eastAsia="Arial" w:hAnsi="Arial"/>
          <w:sz w:val="22"/>
          <w:szCs w:val="22"/>
          <w:b w:val="1"/>
          <w:bCs w:val="1"/>
          <w:color w:val="auto"/>
        </w:rPr>
        <w:t xml:space="preserve">L.B. FOSTER RAIL TECHNOLOGIES (UK) LIMITED, </w:t>
      </w:r>
      <w:r>
        <w:rPr>
          <w:rFonts w:ascii="Arial" w:cs="Arial" w:eastAsia="Arial" w:hAnsi="Arial"/>
          <w:sz w:val="22"/>
          <w:szCs w:val="22"/>
          <w:color w:val="auto"/>
        </w:rPr>
        <w:t>a private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existing under the laws of England, acting by its attorney Christopher T. Kijowski under a power of attorney</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_________________________________________</w:t>
      </w:r>
    </w:p>
    <w:p>
      <w:pPr>
        <w:spacing w:after="0" w:line="200" w:lineRule="exact"/>
        <w:rPr>
          <w:sz w:val="20"/>
          <w:szCs w:val="20"/>
          <w:color w:val="auto"/>
        </w:rPr>
      </w:pPr>
    </w:p>
    <w:p>
      <w:pPr>
        <w:spacing w:after="0" w:line="297" w:lineRule="exact"/>
        <w:rPr>
          <w:sz w:val="20"/>
          <w:szCs w:val="20"/>
          <w:color w:val="auto"/>
        </w:rPr>
      </w:pPr>
    </w:p>
    <w:p>
      <w:pPr>
        <w:ind w:left="3140" w:right="60"/>
        <w:spacing w:after="0" w:line="225" w:lineRule="auto"/>
        <w:rPr>
          <w:sz w:val="20"/>
          <w:szCs w:val="20"/>
          <w:color w:val="auto"/>
        </w:rPr>
      </w:pPr>
      <w:r>
        <w:rPr>
          <w:rFonts w:ascii="Arial" w:cs="Arial" w:eastAsia="Arial" w:hAnsi="Arial"/>
          <w:sz w:val="22"/>
          <w:szCs w:val="22"/>
          <w:b w:val="1"/>
          <w:bCs w:val="1"/>
          <w:color w:val="auto"/>
        </w:rPr>
        <w:t>TEW ENGINEERING LIMITED</w:t>
      </w:r>
      <w:r>
        <w:rPr>
          <w:rFonts w:ascii="Arial" w:cs="Arial" w:eastAsia="Arial" w:hAnsi="Arial"/>
          <w:sz w:val="22"/>
          <w:szCs w:val="22"/>
          <w:color w:val="auto"/>
        </w:rPr>
        <w:t>, a private limited company existing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England, acting by its attorney Christopher T. Kijowski under a power of attorney</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40" w:right="80"/>
        <w:spacing w:after="0" w:line="225" w:lineRule="auto"/>
        <w:rPr>
          <w:sz w:val="20"/>
          <w:szCs w:val="20"/>
          <w:color w:val="auto"/>
        </w:rPr>
      </w:pPr>
      <w:r>
        <w:rPr>
          <w:rFonts w:ascii="Arial" w:cs="Arial" w:eastAsia="Arial" w:hAnsi="Arial"/>
          <w:sz w:val="22"/>
          <w:szCs w:val="22"/>
          <w:b w:val="1"/>
          <w:bCs w:val="1"/>
          <w:color w:val="auto"/>
        </w:rPr>
        <w:t>NETPRACTISE LIMITED</w:t>
      </w:r>
      <w:r>
        <w:rPr>
          <w:rFonts w:ascii="Arial" w:cs="Arial" w:eastAsia="Arial" w:hAnsi="Arial"/>
          <w:sz w:val="22"/>
          <w:szCs w:val="22"/>
          <w:color w:val="auto"/>
        </w:rPr>
        <w:t>, a private limited company existing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England, acting by its attorney Christopher T. Kijowski under a power of attorney</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_________________________________________</w:t>
      </w:r>
    </w:p>
    <w:p>
      <w:pPr>
        <w:spacing w:after="0" w:line="200" w:lineRule="exact"/>
        <w:rPr>
          <w:sz w:val="20"/>
          <w:szCs w:val="20"/>
          <w:color w:val="auto"/>
        </w:rPr>
      </w:pPr>
    </w:p>
    <w:p>
      <w:pPr>
        <w:spacing w:after="0" w:line="311" w:lineRule="exact"/>
        <w:rPr>
          <w:sz w:val="20"/>
          <w:szCs w:val="20"/>
          <w:color w:val="auto"/>
        </w:rPr>
      </w:pPr>
    </w:p>
    <w:p>
      <w:pPr>
        <w:ind w:left="3140" w:right="60"/>
        <w:spacing w:after="0" w:line="225" w:lineRule="auto"/>
        <w:rPr>
          <w:sz w:val="20"/>
          <w:szCs w:val="20"/>
          <w:color w:val="auto"/>
        </w:rPr>
      </w:pPr>
      <w:r>
        <w:rPr>
          <w:rFonts w:ascii="Arial" w:cs="Arial" w:eastAsia="Arial" w:hAnsi="Arial"/>
          <w:sz w:val="22"/>
          <w:szCs w:val="22"/>
          <w:b w:val="1"/>
          <w:bCs w:val="1"/>
          <w:color w:val="auto"/>
        </w:rPr>
        <w:t>TEW PLUS LIMITED</w:t>
      </w:r>
      <w:r>
        <w:rPr>
          <w:rFonts w:ascii="Arial" w:cs="Arial" w:eastAsia="Arial" w:hAnsi="Arial"/>
          <w:sz w:val="22"/>
          <w:szCs w:val="22"/>
          <w:color w:val="auto"/>
        </w:rPr>
        <w:t>, a private limited company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England, acting by its attorney Christopher T. Kijowski under a power of attorney</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_________________________________________</w:t>
      </w:r>
    </w:p>
    <w:p>
      <w:pPr>
        <w:sectPr>
          <w:pgSz w:w="11900" w:h="16838" w:orient="portrait"/>
          <w:cols w:equalWidth="0" w:num="1">
            <w:col w:w="10000"/>
          </w:cols>
          <w:pgMar w:left="1440" w:top="1418" w:right="459" w:bottom="1440" w:gutter="0" w:footer="0" w:header="0"/>
        </w:sectPr>
      </w:pPr>
    </w:p>
    <w:bookmarkStart w:id="138" w:name="page139"/>
    <w:bookmarkEnd w:id="138"/>
    <w:p>
      <w:pPr>
        <w:ind w:left="1000"/>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97"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GUARANTORS:</w:t>
      </w:r>
    </w:p>
    <w:p>
      <w:pPr>
        <w:spacing w:after="0" w:line="220" w:lineRule="exact"/>
        <w:rPr>
          <w:sz w:val="20"/>
          <w:szCs w:val="20"/>
          <w:color w:val="auto"/>
        </w:rPr>
      </w:pPr>
    </w:p>
    <w:p>
      <w:pPr>
        <w:ind w:left="4260"/>
        <w:spacing w:after="0" w:line="235" w:lineRule="auto"/>
        <w:rPr>
          <w:sz w:val="20"/>
          <w:szCs w:val="20"/>
          <w:color w:val="auto"/>
        </w:rPr>
      </w:pPr>
      <w:r>
        <w:rPr>
          <w:rFonts w:ascii="Arial" w:cs="Arial" w:eastAsia="Arial" w:hAnsi="Arial"/>
          <w:sz w:val="22"/>
          <w:szCs w:val="22"/>
          <w:b w:val="1"/>
          <w:bCs w:val="1"/>
          <w:color w:val="auto"/>
        </w:rPr>
        <w:t>L.B. FOSTER PROTECTIVE COATINGS, INC.</w:t>
      </w:r>
      <w:r>
        <w:rPr>
          <w:rFonts w:ascii="Arial" w:cs="Arial" w:eastAsia="Arial" w:hAnsi="Arial"/>
          <w:sz w:val="22"/>
          <w:szCs w:val="22"/>
          <w:color w:val="auto"/>
        </w:rPr>
        <w:t>, a Texas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CHEMTEC ENERGY SERVICES, L.L.C</w:t>
      </w:r>
      <w:r>
        <w:rPr>
          <w:rFonts w:ascii="Arial" w:cs="Arial" w:eastAsia="Arial" w:hAnsi="Arial"/>
          <w:sz w:val="22"/>
          <w:szCs w:val="22"/>
          <w:color w:val="auto"/>
        </w:rPr>
        <w:t>,</w:t>
      </w:r>
    </w:p>
    <w:p>
      <w:pPr>
        <w:ind w:left="4260"/>
        <w:spacing w:after="0"/>
        <w:rPr>
          <w:sz w:val="20"/>
          <w:szCs w:val="20"/>
          <w:color w:val="auto"/>
        </w:rPr>
      </w:pPr>
      <w:r>
        <w:rPr>
          <w:rFonts w:ascii="Arial" w:cs="Arial" w:eastAsia="Arial" w:hAnsi="Arial"/>
          <w:sz w:val="22"/>
          <w:szCs w:val="22"/>
          <w:color w:val="auto"/>
        </w:rPr>
        <w:t>a Texas limited liability company</w:t>
      </w:r>
    </w:p>
    <w:p>
      <w:pPr>
        <w:spacing w:after="0" w:line="236"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IOS HOLDINGS, INC.</w:t>
      </w:r>
      <w:r>
        <w:rPr>
          <w:rFonts w:ascii="Arial" w:cs="Arial" w:eastAsia="Arial" w:hAnsi="Arial"/>
          <w:sz w:val="22"/>
          <w:szCs w:val="22"/>
          <w:color w:val="auto"/>
        </w:rPr>
        <w:t>, a Delaware corporation</w:t>
      </w: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IOS ACQUISITIONS, INC.</w:t>
      </w:r>
      <w:r>
        <w:rPr>
          <w:rFonts w:ascii="Arial" w:cs="Arial" w:eastAsia="Arial" w:hAnsi="Arial"/>
          <w:sz w:val="22"/>
          <w:szCs w:val="22"/>
          <w:color w:val="auto"/>
        </w:rPr>
        <w:t>, a Delaware corporation</w:t>
      </w: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IOS/PCI, LLC</w:t>
      </w:r>
      <w:r>
        <w:rPr>
          <w:rFonts w:ascii="Arial" w:cs="Arial" w:eastAsia="Arial" w:hAnsi="Arial"/>
          <w:sz w:val="22"/>
          <w:szCs w:val="22"/>
          <w:color w:val="auto"/>
        </w:rPr>
        <w:t>, a Louisiana limited liability company</w:t>
      </w:r>
    </w:p>
    <w:p>
      <w:pPr>
        <w:spacing w:after="0" w:line="19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By: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-5715</wp:posOffset>
            </wp:positionV>
            <wp:extent cx="34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260"/>
        <w:spacing w:after="0" w:line="205" w:lineRule="auto"/>
        <w:rPr>
          <w:sz w:val="20"/>
          <w:szCs w:val="20"/>
          <w:color w:val="auto"/>
        </w:rPr>
      </w:pPr>
      <w:r>
        <w:rPr>
          <w:rFonts w:ascii="Arial" w:cs="Arial" w:eastAsia="Arial" w:hAnsi="Arial"/>
          <w:sz w:val="22"/>
          <w:szCs w:val="22"/>
          <w:color w:val="auto"/>
        </w:rPr>
        <w:t>Name: James P. Maloney</w:t>
      </w:r>
    </w:p>
    <w:p>
      <w:pPr>
        <w:ind w:left="4260"/>
        <w:spacing w:after="0"/>
        <w:rPr>
          <w:sz w:val="20"/>
          <w:szCs w:val="20"/>
          <w:color w:val="auto"/>
        </w:rPr>
      </w:pPr>
      <w:r>
        <w:rPr>
          <w:rFonts w:ascii="Arial" w:cs="Arial" w:eastAsia="Arial" w:hAnsi="Arial"/>
          <w:sz w:val="21"/>
          <w:szCs w:val="21"/>
          <w:color w:val="auto"/>
        </w:rPr>
        <w:t>Title: Vice President of each of the above-listed entities</w:t>
      </w:r>
    </w:p>
    <w:p>
      <w:pPr>
        <w:sectPr>
          <w:pgSz w:w="11900" w:h="16838" w:orient="portrait"/>
          <w:cols w:equalWidth="0" w:num="1">
            <w:col w:w="9560"/>
          </w:cols>
          <w:pgMar w:left="1440" w:top="1418" w:right="89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ectPr>
          <w:pgSz w:w="11900" w:h="16838" w:orient="portrait"/>
          <w:cols w:equalWidth="0" w:num="1">
            <w:col w:w="9019"/>
          </w:cols>
          <w:pgMar w:left="1440" w:top="1418" w:right="1440" w:bottom="1440" w:gutter="0" w:footer="0" w:header="0"/>
        </w:sectPr>
      </w:pPr>
    </w:p>
    <w:p>
      <w:pPr>
        <w:spacing w:after="0" w:line="29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GUARANTORS (Continued):</w:t>
      </w:r>
    </w:p>
    <w:p>
      <w:pPr>
        <w:spacing w:after="0" w:line="139" w:lineRule="exact"/>
        <w:rPr>
          <w:sz w:val="20"/>
          <w:szCs w:val="20"/>
          <w:color w:val="auto"/>
        </w:rPr>
      </w:pPr>
    </w:p>
    <w:p>
      <w:pPr>
        <w:ind w:left="2700" w:right="1819"/>
        <w:spacing w:after="0" w:line="256" w:lineRule="auto"/>
        <w:rPr>
          <w:sz w:val="20"/>
          <w:szCs w:val="20"/>
          <w:color w:val="auto"/>
        </w:rPr>
      </w:pPr>
      <w:r>
        <w:rPr>
          <w:rFonts w:ascii="Arial" w:cs="Arial" w:eastAsia="Arial" w:hAnsi="Arial"/>
          <w:sz w:val="22"/>
          <w:szCs w:val="22"/>
          <w:b w:val="1"/>
          <w:bCs w:val="1"/>
          <w:color w:val="auto"/>
        </w:rPr>
        <w:t>PORTEC RAIL NOVA SCOTIA COMPANY</w:t>
      </w:r>
      <w:r>
        <w:rPr>
          <w:rFonts w:ascii="Arial" w:cs="Arial" w:eastAsia="Arial" w:hAnsi="Arial"/>
          <w:sz w:val="22"/>
          <w:szCs w:val="22"/>
          <w:color w:val="auto"/>
        </w:rPr>
        <w:t>, an</w:t>
      </w:r>
      <w:r>
        <w:rPr>
          <w:rFonts w:ascii="Arial" w:cs="Arial" w:eastAsia="Arial" w:hAnsi="Arial"/>
          <w:sz w:val="22"/>
          <w:szCs w:val="22"/>
          <w:b w:val="1"/>
          <w:bCs w:val="1"/>
          <w:color w:val="auto"/>
        </w:rPr>
        <w:t xml:space="preserve"> </w:t>
      </w:r>
      <w:r>
        <w:rPr>
          <w:rFonts w:ascii="Arial" w:cs="Arial" w:eastAsia="Arial" w:hAnsi="Arial"/>
          <w:sz w:val="22"/>
          <w:szCs w:val="22"/>
          <w:color w:val="auto"/>
        </w:rPr>
        <w:t>unlimited liability company registered under the laws of Nova Scotia, Canada</w:t>
      </w:r>
    </w:p>
    <w:p>
      <w:pPr>
        <w:spacing w:after="0" w:line="209"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71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type w:val="continuous"/>
        </w:sectPr>
      </w:pPr>
    </w:p>
    <w:bookmarkStart w:id="140" w:name="page141"/>
    <w:bookmarkEnd w:id="140"/>
    <w:p>
      <w:pPr>
        <w:jc w:val="right"/>
        <w:ind w:right="939"/>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97"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GUARANTORS (Continued):</w:t>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TEW HOLDINGS (2008) LIMITED</w:t>
      </w:r>
      <w:r>
        <w:rPr>
          <w:rFonts w:ascii="Arial" w:cs="Arial" w:eastAsia="Arial" w:hAnsi="Arial"/>
          <w:sz w:val="22"/>
          <w:szCs w:val="22"/>
          <w:color w:val="auto"/>
        </w:rPr>
        <w:t>, a private</w:t>
      </w:r>
    </w:p>
    <w:p>
      <w:pPr>
        <w:spacing w:after="0" w:line="28" w:lineRule="exact"/>
        <w:rPr>
          <w:sz w:val="20"/>
          <w:szCs w:val="20"/>
          <w:color w:val="auto"/>
        </w:rPr>
      </w:pPr>
    </w:p>
    <w:p>
      <w:pPr>
        <w:ind w:right="5059"/>
        <w:spacing w:after="0" w:line="245" w:lineRule="auto"/>
        <w:rPr>
          <w:sz w:val="20"/>
          <w:szCs w:val="20"/>
          <w:color w:val="auto"/>
        </w:rPr>
      </w:pPr>
      <w:r>
        <w:rPr>
          <w:rFonts w:ascii="Arial" w:cs="Arial" w:eastAsia="Arial" w:hAnsi="Arial"/>
          <w:sz w:val="22"/>
          <w:szCs w:val="22"/>
          <w:color w:val="auto"/>
        </w:rPr>
        <w:t>limited company existing under the laws of England, acting by its attorney Christopher T. Kijowski under a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TEW HOLDINGS (2012) LIMITED</w:t>
      </w:r>
      <w:r>
        <w:rPr>
          <w:rFonts w:ascii="Arial" w:cs="Arial" w:eastAsia="Arial" w:hAnsi="Arial"/>
          <w:sz w:val="22"/>
          <w:szCs w:val="22"/>
          <w:color w:val="auto"/>
        </w:rPr>
        <w:t>, private</w:t>
      </w:r>
    </w:p>
    <w:p>
      <w:pPr>
        <w:spacing w:after="0" w:line="28" w:lineRule="exact"/>
        <w:rPr>
          <w:sz w:val="20"/>
          <w:szCs w:val="20"/>
          <w:color w:val="auto"/>
        </w:rPr>
      </w:pPr>
    </w:p>
    <w:p>
      <w:pPr>
        <w:ind w:right="5059"/>
        <w:spacing w:after="0" w:line="245" w:lineRule="auto"/>
        <w:rPr>
          <w:sz w:val="20"/>
          <w:szCs w:val="20"/>
          <w:color w:val="auto"/>
        </w:rPr>
      </w:pPr>
      <w:r>
        <w:rPr>
          <w:rFonts w:ascii="Arial" w:cs="Arial" w:eastAsia="Arial" w:hAnsi="Arial"/>
          <w:sz w:val="22"/>
          <w:szCs w:val="22"/>
          <w:color w:val="auto"/>
        </w:rPr>
        <w:t>limited company existing under the laws of England, acting by its attorney Christopher T. Kijowski under a power of attorney</w:t>
      </w:r>
    </w:p>
    <w:p>
      <w:pPr>
        <w:sectPr>
          <w:pgSz w:w="11900" w:h="16838" w:orient="portrait"/>
          <w:cols w:equalWidth="0" w:num="1">
            <w:col w:w="10219"/>
          </w:cols>
          <w:pgMar w:left="240" w:top="1418" w:right="1440" w:bottom="1440" w:gutter="0" w:footer="0" w:header="0"/>
        </w:sectPr>
      </w:pPr>
    </w:p>
    <w:bookmarkStart w:id="141" w:name="page142"/>
    <w:bookmarkEnd w:id="141"/>
    <w:p>
      <w:pPr>
        <w:jc w:val="right"/>
        <w:ind w:right="999"/>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as a Lender and as Administrative Agent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-29210</wp:posOffset>
            </wp:positionV>
            <wp:extent cx="34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342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34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19"/>
          </w:cols>
          <w:pgMar w:left="240" w:top="1418" w:right="1440" w:bottom="1440" w:gutter="0" w:footer="0" w:header="0"/>
        </w:sectPr>
      </w:pPr>
    </w:p>
    <w:bookmarkStart w:id="142" w:name="page143"/>
    <w:bookmarkEnd w:id="142"/>
    <w:p>
      <w:pPr>
        <w:ind w:left="1000"/>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00" w:lineRule="exact"/>
        <w:rPr>
          <w:sz w:val="20"/>
          <w:szCs w:val="20"/>
          <w:color w:val="auto"/>
        </w:rPr>
      </w:pPr>
    </w:p>
    <w:p>
      <w:pPr>
        <w:ind w:left="2700"/>
        <w:spacing w:after="0" w:line="269" w:lineRule="auto"/>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 and as Co-Syndication Agent, Joint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w:t>
      </w:r>
    </w:p>
    <w:p>
      <w:pPr>
        <w:spacing w:after="0" w:line="38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34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-29210</wp:posOffset>
            </wp:positionV>
            <wp:extent cx="34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-29210</wp:posOffset>
            </wp:positionV>
            <wp:extent cx="34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020"/>
          </w:cols>
          <w:pgMar w:left="1440" w:top="1418" w:right="439" w:bottom="1440" w:gutter="0" w:footer="0" w:header="0"/>
        </w:sectPr>
      </w:pPr>
    </w:p>
    <w:bookmarkStart w:id="143" w:name="page144"/>
    <w:bookmarkEnd w:id="143"/>
    <w:p>
      <w:pPr>
        <w:jc w:val="right"/>
        <w:ind w:right="999"/>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as a Lender and as Co-Syndication Agent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-29210</wp:posOffset>
            </wp:positionV>
            <wp:extent cx="34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34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34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19"/>
          </w:cols>
          <w:pgMar w:left="240" w:top="1418" w:right="1440" w:bottom="1440" w:gutter="0" w:footer="0" w:header="0"/>
        </w:sectPr>
      </w:pPr>
    </w:p>
    <w:bookmarkStart w:id="144" w:name="page145"/>
    <w:bookmarkEnd w:id="144"/>
    <w:p>
      <w:pPr>
        <w:ind w:left="1000"/>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00" w:lineRule="exact"/>
        <w:rPr>
          <w:sz w:val="20"/>
          <w:szCs w:val="20"/>
          <w:color w:val="auto"/>
        </w:rPr>
      </w:pPr>
    </w:p>
    <w:p>
      <w:pPr>
        <w:ind w:left="2700"/>
        <w:spacing w:after="0" w:line="269"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as a Lender and as Co-Syndication Agent</w:t>
      </w:r>
    </w:p>
    <w:p>
      <w:pPr>
        <w:spacing w:after="0" w:line="38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34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-29210</wp:posOffset>
            </wp:positionV>
            <wp:extent cx="34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-29210</wp:posOffset>
            </wp:positionV>
            <wp:extent cx="34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860"/>
          </w:cols>
          <w:pgMar w:left="1440" w:top="1418" w:right="5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[SIGNATURE PAGE TO THIRD AMENDED AND RESTATED CREDIT AGREEMENT]</w:t>
      </w:r>
    </w:p>
    <w:p>
      <w:pPr>
        <w:spacing w:after="0" w:line="200" w:lineRule="exact"/>
        <w:rPr>
          <w:sz w:val="20"/>
          <w:szCs w:val="20"/>
          <w:color w:val="auto"/>
        </w:rPr>
      </w:pPr>
    </w:p>
    <w:p>
      <w:pPr>
        <w:spacing w:after="0" w:line="300" w:lineRule="exact"/>
        <w:rPr>
          <w:sz w:val="20"/>
          <w:szCs w:val="20"/>
          <w:color w:val="auto"/>
        </w:rPr>
      </w:pPr>
    </w:p>
    <w:p>
      <w:pPr>
        <w:jc w:val="right"/>
        <w:ind w:right="319"/>
        <w:spacing w:after="0"/>
        <w:rPr>
          <w:sz w:val="20"/>
          <w:szCs w:val="20"/>
          <w:color w:val="auto"/>
        </w:rPr>
      </w:pPr>
      <w:r>
        <w:rPr>
          <w:rFonts w:ascii="Arial" w:cs="Arial" w:eastAsia="Arial" w:hAnsi="Arial"/>
          <w:sz w:val="22"/>
          <w:szCs w:val="22"/>
          <w:b w:val="1"/>
          <w:bCs w:val="1"/>
          <w:color w:val="auto"/>
        </w:rPr>
        <w:t xml:space="preserve">BMO HARRIS BANK, NATIONAL ASSOCIATION, </w:t>
      </w:r>
      <w:r>
        <w:rPr>
          <w:rFonts w:ascii="Arial" w:cs="Arial" w:eastAsia="Arial" w:hAnsi="Arial"/>
          <w:sz w:val="22"/>
          <w:szCs w:val="22"/>
          <w:color w:val="auto"/>
        </w:rPr>
        <w:t>as a Lender</w:t>
      </w:r>
    </w:p>
    <w:p>
      <w:pPr>
        <w:spacing w:after="0" w:line="200" w:lineRule="exact"/>
        <w:rPr>
          <w:sz w:val="20"/>
          <w:szCs w:val="20"/>
          <w:color w:val="auto"/>
        </w:rPr>
      </w:pP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-29210</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-29210</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SCHEDULE 1.1(A)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GRID--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VARIABLE PRICING AND FEES BASED ON LEVERAGE RATIO</w:t>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60" w:type="dxa"/>
            <w:vAlign w:val="bottom"/>
            <w:tcBorders>
              <w:top w:val="single" w:sz="8" w:color="00000A"/>
              <w:left w:val="single" w:sz="8" w:color="00000A"/>
            </w:tcBorders>
          </w:tcPr>
          <w:p>
            <w:pPr>
              <w:spacing w:after="0"/>
              <w:rPr>
                <w:sz w:val="24"/>
                <w:szCs w:val="24"/>
                <w:color w:val="auto"/>
              </w:rPr>
            </w:pPr>
          </w:p>
        </w:tc>
        <w:tc>
          <w:tcPr>
            <w:tcW w:w="420" w:type="dxa"/>
            <w:vAlign w:val="bottom"/>
            <w:tcBorders>
              <w:top w:val="single" w:sz="8" w:color="00000A"/>
            </w:tcBorders>
          </w:tcPr>
          <w:p>
            <w:pPr>
              <w:spacing w:after="0"/>
              <w:rPr>
                <w:sz w:val="24"/>
                <w:szCs w:val="24"/>
                <w:color w:val="auto"/>
              </w:rPr>
            </w:pPr>
          </w:p>
        </w:tc>
        <w:tc>
          <w:tcPr>
            <w:tcW w:w="260" w:type="dxa"/>
            <w:vAlign w:val="bottom"/>
            <w:tcBorders>
              <w:top w:val="single" w:sz="8" w:color="00000A"/>
              <w:right w:val="single" w:sz="8" w:color="00000A"/>
            </w:tcBorders>
          </w:tcPr>
          <w:p>
            <w:pPr>
              <w:spacing w:after="0"/>
              <w:rPr>
                <w:sz w:val="24"/>
                <w:szCs w:val="24"/>
                <w:color w:val="auto"/>
              </w:rPr>
            </w:pPr>
          </w:p>
        </w:tc>
        <w:tc>
          <w:tcPr>
            <w:tcW w:w="840" w:type="dxa"/>
            <w:vAlign w:val="bottom"/>
            <w:tcBorders>
              <w:top w:val="single" w:sz="8" w:color="00000A"/>
            </w:tcBorders>
          </w:tcPr>
          <w:p>
            <w:pPr>
              <w:spacing w:after="0"/>
              <w:rPr>
                <w:sz w:val="24"/>
                <w:szCs w:val="24"/>
                <w:color w:val="auto"/>
              </w:rPr>
            </w:pPr>
          </w:p>
        </w:tc>
        <w:tc>
          <w:tcPr>
            <w:tcW w:w="1280" w:type="dxa"/>
            <w:vAlign w:val="bottom"/>
            <w:tcBorders>
              <w:top w:val="single" w:sz="8" w:color="00000A"/>
            </w:tcBorders>
          </w:tcPr>
          <w:p>
            <w:pPr>
              <w:spacing w:after="0"/>
              <w:rPr>
                <w:sz w:val="24"/>
                <w:szCs w:val="24"/>
                <w:color w:val="auto"/>
              </w:rPr>
            </w:pPr>
          </w:p>
        </w:tc>
        <w:tc>
          <w:tcPr>
            <w:tcW w:w="880" w:type="dxa"/>
            <w:vAlign w:val="bottom"/>
            <w:tcBorders>
              <w:top w:val="single" w:sz="8" w:color="00000A"/>
              <w:right w:val="single" w:sz="8" w:color="00000A"/>
            </w:tcBorders>
          </w:tcPr>
          <w:p>
            <w:pPr>
              <w:spacing w:after="0"/>
              <w:rPr>
                <w:sz w:val="24"/>
                <w:szCs w:val="24"/>
                <w:color w:val="auto"/>
              </w:rPr>
            </w:pPr>
          </w:p>
        </w:tc>
        <w:tc>
          <w:tcPr>
            <w:tcW w:w="1700" w:type="dxa"/>
            <w:vAlign w:val="bottom"/>
            <w:tcBorders>
              <w:top w:val="single" w:sz="8" w:color="00000A"/>
              <w:right w:val="single" w:sz="8" w:color="00000A"/>
            </w:tcBorders>
            <w:gridSpan w:val="3"/>
            <w:vMerge w:val="restart"/>
          </w:tcPr>
          <w:p>
            <w:pPr>
              <w:jc w:val="right"/>
              <w:ind w:right="320"/>
              <w:spacing w:after="0"/>
              <w:rPr>
                <w:sz w:val="20"/>
                <w:szCs w:val="20"/>
                <w:color w:val="auto"/>
              </w:rPr>
            </w:pPr>
            <w:r>
              <w:rPr>
                <w:rFonts w:ascii="Arial" w:cs="Arial" w:eastAsia="Arial" w:hAnsi="Arial"/>
                <w:sz w:val="20"/>
                <w:szCs w:val="20"/>
                <w:b w:val="1"/>
                <w:bCs w:val="1"/>
                <w:color w:val="auto"/>
              </w:rPr>
              <w:t>Commitment</w:t>
            </w:r>
          </w:p>
        </w:tc>
        <w:tc>
          <w:tcPr>
            <w:tcW w:w="1460" w:type="dxa"/>
            <w:vAlign w:val="bottom"/>
            <w:tcBorders>
              <w:top w:val="single" w:sz="8" w:color="00000A"/>
              <w:right w:val="single" w:sz="8" w:color="00000A"/>
            </w:tcBorders>
            <w:gridSpan w:val="3"/>
            <w:vMerge w:val="restart"/>
          </w:tcPr>
          <w:p>
            <w:pPr>
              <w:jc w:val="center"/>
              <w:ind w:right="20"/>
              <w:spacing w:after="0"/>
              <w:rPr>
                <w:sz w:val="20"/>
                <w:szCs w:val="20"/>
                <w:color w:val="auto"/>
              </w:rPr>
            </w:pPr>
            <w:r>
              <w:rPr>
                <w:rFonts w:ascii="Arial" w:cs="Arial" w:eastAsia="Arial" w:hAnsi="Arial"/>
                <w:sz w:val="20"/>
                <w:szCs w:val="20"/>
                <w:b w:val="1"/>
                <w:bCs w:val="1"/>
                <w:color w:val="auto"/>
                <w:w w:val="91"/>
              </w:rPr>
              <w:t>Standby Letter</w:t>
            </w:r>
          </w:p>
        </w:tc>
        <w:tc>
          <w:tcPr>
            <w:tcW w:w="1660" w:type="dxa"/>
            <w:vAlign w:val="bottom"/>
            <w:tcBorders>
              <w:top w:val="single" w:sz="8" w:color="00000A"/>
              <w:right w:val="single" w:sz="8" w:color="00000A"/>
            </w:tcBorders>
            <w:gridSpan w:val="5"/>
          </w:tcPr>
          <w:p>
            <w:pPr>
              <w:jc w:val="center"/>
              <w:ind w:right="20"/>
              <w:spacing w:after="0"/>
              <w:rPr>
                <w:sz w:val="20"/>
                <w:szCs w:val="20"/>
                <w:color w:val="auto"/>
              </w:rPr>
            </w:pPr>
            <w:r>
              <w:rPr>
                <w:rFonts w:ascii="Arial" w:cs="Arial" w:eastAsia="Arial" w:hAnsi="Arial"/>
                <w:sz w:val="20"/>
                <w:szCs w:val="20"/>
                <w:b w:val="1"/>
                <w:bCs w:val="1"/>
                <w:color w:val="auto"/>
                <w:w w:val="90"/>
              </w:rPr>
              <w:t>Commercial</w:t>
            </w:r>
          </w:p>
        </w:tc>
        <w:tc>
          <w:tcPr>
            <w:tcW w:w="1300" w:type="dxa"/>
            <w:vAlign w:val="bottom"/>
            <w:tcBorders>
              <w:top w:val="single" w:sz="8" w:color="00000A"/>
              <w:right w:val="single" w:sz="8" w:color="00000A"/>
            </w:tcBorders>
            <w:gridSpan w:val="3"/>
            <w:vMerge w:val="restart"/>
          </w:tcPr>
          <w:p>
            <w:pPr>
              <w:ind w:left="220"/>
              <w:spacing w:after="0"/>
              <w:rPr>
                <w:sz w:val="20"/>
                <w:szCs w:val="20"/>
                <w:color w:val="auto"/>
              </w:rPr>
            </w:pPr>
            <w:r>
              <w:rPr>
                <w:rFonts w:ascii="Arial" w:cs="Arial" w:eastAsia="Arial" w:hAnsi="Arial"/>
                <w:sz w:val="20"/>
                <w:szCs w:val="20"/>
                <w:b w:val="1"/>
                <w:bCs w:val="1"/>
                <w:color w:val="auto"/>
              </w:rPr>
              <w:t>Base Rate</w:t>
            </w:r>
          </w:p>
        </w:tc>
        <w:tc>
          <w:tcPr>
            <w:tcW w:w="1360" w:type="dxa"/>
            <w:vAlign w:val="bottom"/>
            <w:tcBorders>
              <w:top w:val="single" w:sz="8" w:color="00000A"/>
              <w:right w:val="single" w:sz="8" w:color="00000A"/>
            </w:tcBorders>
            <w:gridSpan w:val="3"/>
            <w:vMerge w:val="restart"/>
          </w:tcPr>
          <w:p>
            <w:pPr>
              <w:ind w:left="220"/>
              <w:spacing w:after="0"/>
              <w:rPr>
                <w:sz w:val="20"/>
                <w:szCs w:val="20"/>
                <w:color w:val="auto"/>
              </w:rPr>
            </w:pPr>
            <w:r>
              <w:rPr>
                <w:rFonts w:ascii="Arial" w:cs="Arial" w:eastAsia="Arial" w:hAnsi="Arial"/>
                <w:sz w:val="20"/>
                <w:szCs w:val="20"/>
                <w:b w:val="1"/>
                <w:bCs w:val="1"/>
                <w:color w:val="auto"/>
              </w:rPr>
              <w:t>Euro-Rate</w:t>
            </w:r>
          </w:p>
        </w:tc>
        <w:tc>
          <w:tcPr>
            <w:tcW w:w="0" w:type="dxa"/>
            <w:vAlign w:val="bottom"/>
          </w:tcPr>
          <w:p>
            <w:pPr>
              <w:spacing w:after="0"/>
              <w:rPr>
                <w:sz w:val="1"/>
                <w:szCs w:val="1"/>
                <w:color w:val="auto"/>
              </w:rPr>
            </w:pPr>
          </w:p>
        </w:tc>
      </w:tr>
      <w:tr>
        <w:trPr>
          <w:trHeight w:val="196"/>
        </w:trPr>
        <w:tc>
          <w:tcPr>
            <w:tcW w:w="260" w:type="dxa"/>
            <w:vAlign w:val="bottom"/>
            <w:tcBorders>
              <w:left w:val="single" w:sz="8" w:color="00000A"/>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00000A"/>
            </w:tcBorders>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Borders>
              <w:right w:val="single" w:sz="8" w:color="00000A"/>
            </w:tcBorders>
          </w:tcPr>
          <w:p>
            <w:pPr>
              <w:spacing w:after="0"/>
              <w:rPr>
                <w:sz w:val="17"/>
                <w:szCs w:val="17"/>
                <w:color w:val="auto"/>
              </w:rPr>
            </w:pPr>
          </w:p>
        </w:tc>
        <w:tc>
          <w:tcPr>
            <w:tcW w:w="1700" w:type="dxa"/>
            <w:vAlign w:val="bottom"/>
            <w:tcBorders>
              <w:right w:val="single" w:sz="8" w:color="00000A"/>
            </w:tcBorders>
            <w:gridSpan w:val="3"/>
            <w:vMerge w:val="continue"/>
          </w:tcPr>
          <w:p>
            <w:pPr>
              <w:spacing w:after="0"/>
              <w:rPr>
                <w:sz w:val="17"/>
                <w:szCs w:val="17"/>
                <w:color w:val="auto"/>
              </w:rPr>
            </w:pPr>
          </w:p>
        </w:tc>
        <w:tc>
          <w:tcPr>
            <w:tcW w:w="1460" w:type="dxa"/>
            <w:vAlign w:val="bottom"/>
            <w:tcBorders>
              <w:right w:val="single" w:sz="8" w:color="00000A"/>
            </w:tcBorders>
            <w:gridSpan w:val="3"/>
            <w:vMerge w:val="continue"/>
          </w:tcPr>
          <w:p>
            <w:pPr>
              <w:spacing w:after="0"/>
              <w:rPr>
                <w:sz w:val="17"/>
                <w:szCs w:val="17"/>
                <w:color w:val="auto"/>
              </w:rPr>
            </w:pPr>
          </w:p>
        </w:tc>
        <w:tc>
          <w:tcPr>
            <w:tcW w:w="1660" w:type="dxa"/>
            <w:vAlign w:val="bottom"/>
            <w:tcBorders>
              <w:right w:val="single" w:sz="8" w:color="00000A"/>
            </w:tcBorders>
            <w:gridSpan w:val="5"/>
          </w:tcPr>
          <w:p>
            <w:pPr>
              <w:jc w:val="center"/>
              <w:ind w:right="40"/>
              <w:spacing w:after="0" w:line="189" w:lineRule="exact"/>
              <w:rPr>
                <w:sz w:val="20"/>
                <w:szCs w:val="20"/>
                <w:color w:val="auto"/>
              </w:rPr>
            </w:pPr>
            <w:r>
              <w:rPr>
                <w:rFonts w:ascii="Arial" w:cs="Arial" w:eastAsia="Arial" w:hAnsi="Arial"/>
                <w:sz w:val="20"/>
                <w:szCs w:val="20"/>
                <w:b w:val="1"/>
                <w:bCs w:val="1"/>
                <w:color w:val="auto"/>
                <w:w w:val="93"/>
              </w:rPr>
              <w:t>Letter of Credit</w:t>
            </w:r>
          </w:p>
        </w:tc>
        <w:tc>
          <w:tcPr>
            <w:tcW w:w="1300" w:type="dxa"/>
            <w:vAlign w:val="bottom"/>
            <w:tcBorders>
              <w:right w:val="single" w:sz="8" w:color="00000A"/>
            </w:tcBorders>
            <w:gridSpan w:val="3"/>
            <w:vMerge w:val="continue"/>
          </w:tcPr>
          <w:p>
            <w:pPr>
              <w:spacing w:after="0"/>
              <w:rPr>
                <w:sz w:val="17"/>
                <w:szCs w:val="17"/>
                <w:color w:val="auto"/>
              </w:rPr>
            </w:pPr>
          </w:p>
        </w:tc>
        <w:tc>
          <w:tcPr>
            <w:tcW w:w="1360" w:type="dxa"/>
            <w:vAlign w:val="bottom"/>
            <w:tcBorders>
              <w:right w:val="single" w:sz="8" w:color="00000A"/>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0" w:type="dxa"/>
            <w:vAlign w:val="bottom"/>
            <w:tcBorders>
              <w:left w:val="single" w:sz="8" w:color="00000A"/>
            </w:tcBorders>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Level</w:t>
            </w:r>
          </w:p>
        </w:tc>
        <w:tc>
          <w:tcPr>
            <w:tcW w:w="260" w:type="dxa"/>
            <w:vAlign w:val="bottom"/>
            <w:tcBorders>
              <w:right w:val="single" w:sz="8" w:color="00000A"/>
            </w:tcBorders>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Leverage Ratio</w:t>
            </w:r>
          </w:p>
        </w:tc>
        <w:tc>
          <w:tcPr>
            <w:tcW w:w="880" w:type="dxa"/>
            <w:vAlign w:val="bottom"/>
            <w:tcBorders>
              <w:right w:val="single" w:sz="8" w:color="00000A"/>
            </w:tcBorders>
          </w:tcPr>
          <w:p>
            <w:pPr>
              <w:spacing w:after="0"/>
              <w:rPr>
                <w:sz w:val="15"/>
                <w:szCs w:val="15"/>
                <w:color w:val="auto"/>
              </w:rPr>
            </w:pPr>
          </w:p>
        </w:tc>
        <w:tc>
          <w:tcPr>
            <w:tcW w:w="1700" w:type="dxa"/>
            <w:vAlign w:val="bottom"/>
            <w:tcBorders>
              <w:right w:val="single" w:sz="8" w:color="00000A"/>
            </w:tcBorders>
            <w:gridSpan w:val="3"/>
            <w:vMerge w:val="restart"/>
          </w:tcPr>
          <w:p>
            <w:pPr>
              <w:jc w:val="right"/>
              <w:ind w:right="720"/>
              <w:spacing w:after="0"/>
              <w:rPr>
                <w:sz w:val="20"/>
                <w:szCs w:val="20"/>
                <w:color w:val="auto"/>
              </w:rPr>
            </w:pPr>
            <w:r>
              <w:rPr>
                <w:rFonts w:ascii="Arial" w:cs="Arial" w:eastAsia="Arial" w:hAnsi="Arial"/>
                <w:sz w:val="20"/>
                <w:szCs w:val="20"/>
                <w:b w:val="1"/>
                <w:bCs w:val="1"/>
                <w:color w:val="auto"/>
              </w:rPr>
              <w:t>Fee</w:t>
            </w:r>
          </w:p>
        </w:tc>
        <w:tc>
          <w:tcPr>
            <w:tcW w:w="1460" w:type="dxa"/>
            <w:vAlign w:val="bottom"/>
            <w:tcBorders>
              <w:right w:val="single" w:sz="8" w:color="00000A"/>
            </w:tcBorders>
            <w:gridSpan w:val="3"/>
          </w:tcPr>
          <w:p>
            <w:pPr>
              <w:jc w:val="center"/>
              <w:ind w:right="20"/>
              <w:spacing w:after="0" w:line="176" w:lineRule="exact"/>
              <w:rPr>
                <w:sz w:val="20"/>
                <w:szCs w:val="20"/>
                <w:color w:val="auto"/>
              </w:rPr>
            </w:pPr>
            <w:r>
              <w:rPr>
                <w:rFonts w:ascii="Arial" w:cs="Arial" w:eastAsia="Arial" w:hAnsi="Arial"/>
                <w:sz w:val="20"/>
                <w:szCs w:val="20"/>
                <w:b w:val="1"/>
                <w:bCs w:val="1"/>
                <w:color w:val="auto"/>
                <w:w w:val="91"/>
              </w:rPr>
              <w:t>of Credit Fee</w:t>
            </w:r>
          </w:p>
        </w:tc>
        <w:tc>
          <w:tcPr>
            <w:tcW w:w="940" w:type="dxa"/>
            <w:vAlign w:val="bottom"/>
            <w:gridSpan w:val="2"/>
          </w:tcPr>
          <w:p>
            <w:pPr>
              <w:jc w:val="center"/>
              <w:ind w:left="561"/>
              <w:spacing w:after="0" w:line="176" w:lineRule="exact"/>
              <w:rPr>
                <w:sz w:val="20"/>
                <w:szCs w:val="20"/>
                <w:color w:val="auto"/>
              </w:rPr>
            </w:pPr>
            <w:r>
              <w:rPr>
                <w:rFonts w:ascii="Arial" w:cs="Arial" w:eastAsia="Arial" w:hAnsi="Arial"/>
                <w:sz w:val="20"/>
                <w:szCs w:val="20"/>
                <w:b w:val="1"/>
                <w:bCs w:val="1"/>
                <w:color w:val="auto"/>
                <w:w w:val="81"/>
              </w:rPr>
              <w:t>Fee</w:t>
            </w: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Borders>
              <w:right w:val="single" w:sz="8" w:color="00000A"/>
            </w:tcBorders>
          </w:tcPr>
          <w:p>
            <w:pPr>
              <w:spacing w:after="0"/>
              <w:rPr>
                <w:sz w:val="15"/>
                <w:szCs w:val="15"/>
                <w:color w:val="auto"/>
              </w:rPr>
            </w:pPr>
          </w:p>
        </w:tc>
        <w:tc>
          <w:tcPr>
            <w:tcW w:w="1300" w:type="dxa"/>
            <w:vAlign w:val="bottom"/>
            <w:tcBorders>
              <w:right w:val="single" w:sz="8" w:color="00000A"/>
            </w:tcBorders>
            <w:gridSpan w:val="3"/>
          </w:tcPr>
          <w:p>
            <w:pPr>
              <w:ind w:left="340"/>
              <w:spacing w:after="0" w:line="176" w:lineRule="exact"/>
              <w:rPr>
                <w:sz w:val="20"/>
                <w:szCs w:val="20"/>
                <w:color w:val="auto"/>
              </w:rPr>
            </w:pPr>
            <w:r>
              <w:rPr>
                <w:rFonts w:ascii="Arial" w:cs="Arial" w:eastAsia="Arial" w:hAnsi="Arial"/>
                <w:sz w:val="20"/>
                <w:szCs w:val="20"/>
                <w:b w:val="1"/>
                <w:bCs w:val="1"/>
                <w:color w:val="auto"/>
              </w:rPr>
              <w:t>Spread</w:t>
            </w:r>
          </w:p>
        </w:tc>
        <w:tc>
          <w:tcPr>
            <w:tcW w:w="1360" w:type="dxa"/>
            <w:vAlign w:val="bottom"/>
            <w:tcBorders>
              <w:right w:val="single" w:sz="8" w:color="00000A"/>
            </w:tcBorders>
            <w:gridSpan w:val="3"/>
          </w:tcPr>
          <w:p>
            <w:pPr>
              <w:ind w:left="380"/>
              <w:spacing w:after="0" w:line="176" w:lineRule="exact"/>
              <w:rPr>
                <w:sz w:val="20"/>
                <w:szCs w:val="20"/>
                <w:color w:val="auto"/>
              </w:rPr>
            </w:pPr>
            <w:r>
              <w:rPr>
                <w:rFonts w:ascii="Arial" w:cs="Arial" w:eastAsia="Arial" w:hAnsi="Arial"/>
                <w:sz w:val="20"/>
                <w:szCs w:val="20"/>
                <w:b w:val="1"/>
                <w:bCs w:val="1"/>
                <w:color w:val="auto"/>
              </w:rPr>
              <w:t>Spread</w:t>
            </w:r>
          </w:p>
        </w:tc>
        <w:tc>
          <w:tcPr>
            <w:tcW w:w="0" w:type="dxa"/>
            <w:vAlign w:val="bottom"/>
          </w:tcPr>
          <w:p>
            <w:pPr>
              <w:spacing w:after="0"/>
              <w:rPr>
                <w:sz w:val="1"/>
                <w:szCs w:val="1"/>
                <w:color w:val="auto"/>
              </w:rPr>
            </w:pPr>
          </w:p>
        </w:tc>
      </w:tr>
      <w:tr>
        <w:trPr>
          <w:trHeight w:val="66"/>
        </w:trPr>
        <w:tc>
          <w:tcPr>
            <w:tcW w:w="260" w:type="dxa"/>
            <w:vAlign w:val="bottom"/>
            <w:tcBorders>
              <w:left w:val="single" w:sz="8" w:color="00000A"/>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260" w:type="dxa"/>
            <w:vAlign w:val="bottom"/>
            <w:tcBorders>
              <w:right w:val="single" w:sz="8" w:color="00000A"/>
            </w:tcBorders>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80" w:type="dxa"/>
            <w:vAlign w:val="bottom"/>
            <w:tcBorders>
              <w:right w:val="single" w:sz="8" w:color="00000A"/>
            </w:tcBorders>
          </w:tcPr>
          <w:p>
            <w:pPr>
              <w:spacing w:after="0"/>
              <w:rPr>
                <w:sz w:val="5"/>
                <w:szCs w:val="5"/>
                <w:color w:val="auto"/>
              </w:rPr>
            </w:pPr>
          </w:p>
        </w:tc>
        <w:tc>
          <w:tcPr>
            <w:tcW w:w="1700" w:type="dxa"/>
            <w:vAlign w:val="bottom"/>
            <w:tcBorders>
              <w:right w:val="single" w:sz="8" w:color="00000A"/>
            </w:tcBorders>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Borders>
              <w:right w:val="single" w:sz="8" w:color="00000A"/>
            </w:tcBorders>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Borders>
              <w:right w:val="single" w:sz="8" w:color="00000A"/>
            </w:tcBorders>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60" w:type="dxa"/>
            <w:vAlign w:val="bottom"/>
            <w:tcBorders>
              <w:right w:val="single" w:sz="8" w:color="00000A"/>
            </w:tcBorders>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80" w:type="dxa"/>
            <w:vAlign w:val="bottom"/>
            <w:tcBorders>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 w:type="dxa"/>
            <w:vAlign w:val="bottom"/>
            <w:tcBorders>
              <w:left w:val="single" w:sz="8" w:color="00000A"/>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Borders>
              <w:right w:val="single" w:sz="8" w:color="00000A"/>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Borders>
              <w:left w:val="single" w:sz="8" w:color="00000A"/>
              <w:bottom w:val="single" w:sz="8" w:color="00000A"/>
            </w:tcBorders>
          </w:tcPr>
          <w:p>
            <w:pPr>
              <w:spacing w:after="0" w:line="20" w:lineRule="exact"/>
              <w:rPr>
                <w:sz w:val="1"/>
                <w:szCs w:val="1"/>
                <w:color w:val="auto"/>
              </w:rPr>
            </w:pPr>
          </w:p>
        </w:tc>
        <w:tc>
          <w:tcPr>
            <w:tcW w:w="420" w:type="dxa"/>
            <w:vAlign w:val="bottom"/>
            <w:tcBorders>
              <w:bottom w:val="single" w:sz="8" w:color="00000A"/>
            </w:tcBorders>
          </w:tcPr>
          <w:p>
            <w:pPr>
              <w:spacing w:after="0" w:line="20" w:lineRule="exact"/>
              <w:rPr>
                <w:sz w:val="1"/>
                <w:szCs w:val="1"/>
                <w:color w:val="auto"/>
              </w:rPr>
            </w:pPr>
          </w:p>
        </w:tc>
        <w:tc>
          <w:tcPr>
            <w:tcW w:w="260" w:type="dxa"/>
            <w:vAlign w:val="bottom"/>
            <w:tcBorders>
              <w:bottom w:val="single" w:sz="8" w:color="00000A"/>
              <w:right w:val="single" w:sz="8" w:color="00000A"/>
            </w:tcBorders>
          </w:tcPr>
          <w:p>
            <w:pPr>
              <w:spacing w:after="0" w:line="20" w:lineRule="exact"/>
              <w:rPr>
                <w:sz w:val="1"/>
                <w:szCs w:val="1"/>
                <w:color w:val="auto"/>
              </w:rPr>
            </w:pPr>
          </w:p>
        </w:tc>
        <w:tc>
          <w:tcPr>
            <w:tcW w:w="840" w:type="dxa"/>
            <w:vAlign w:val="bottom"/>
            <w:tcBorders>
              <w:bottom w:val="single" w:sz="8" w:color="00000A"/>
            </w:tcBorders>
          </w:tcPr>
          <w:p>
            <w:pPr>
              <w:spacing w:after="0" w:line="20" w:lineRule="exact"/>
              <w:rPr>
                <w:sz w:val="1"/>
                <w:szCs w:val="1"/>
                <w:color w:val="auto"/>
              </w:rPr>
            </w:pPr>
          </w:p>
        </w:tc>
        <w:tc>
          <w:tcPr>
            <w:tcW w:w="1280" w:type="dxa"/>
            <w:vAlign w:val="bottom"/>
            <w:tcBorders>
              <w:bottom w:val="single" w:sz="8" w:color="00000A"/>
            </w:tcBorders>
          </w:tcPr>
          <w:p>
            <w:pPr>
              <w:spacing w:after="0" w:line="20" w:lineRule="exact"/>
              <w:rPr>
                <w:sz w:val="1"/>
                <w:szCs w:val="1"/>
                <w:color w:val="auto"/>
              </w:rPr>
            </w:pPr>
          </w:p>
        </w:tc>
        <w:tc>
          <w:tcPr>
            <w:tcW w:w="88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720" w:type="dxa"/>
            <w:vAlign w:val="bottom"/>
            <w:tcBorders>
              <w:bottom w:val="single" w:sz="8" w:color="00000A"/>
              <w:right w:val="single" w:sz="8" w:color="00000A"/>
            </w:tcBorders>
          </w:tcPr>
          <w:p>
            <w:pPr>
              <w:spacing w:after="0" w:line="20" w:lineRule="exact"/>
              <w:rPr>
                <w:sz w:val="1"/>
                <w:szCs w:val="1"/>
                <w:color w:val="auto"/>
              </w:rPr>
            </w:pPr>
          </w:p>
        </w:tc>
        <w:tc>
          <w:tcPr>
            <w:tcW w:w="380" w:type="dxa"/>
            <w:vAlign w:val="bottom"/>
            <w:tcBorders>
              <w:bottom w:val="single" w:sz="8" w:color="00000A"/>
            </w:tcBorders>
          </w:tcPr>
          <w:p>
            <w:pPr>
              <w:spacing w:after="0" w:line="20" w:lineRule="exact"/>
              <w:rPr>
                <w:sz w:val="1"/>
                <w:szCs w:val="1"/>
                <w:color w:val="auto"/>
              </w:rPr>
            </w:pPr>
          </w:p>
        </w:tc>
        <w:tc>
          <w:tcPr>
            <w:tcW w:w="900" w:type="dxa"/>
            <w:vAlign w:val="bottom"/>
            <w:tcBorders>
              <w:bottom w:val="single" w:sz="8" w:color="00000A"/>
            </w:tcBorders>
          </w:tcPr>
          <w:p>
            <w:pPr>
              <w:spacing w:after="0" w:line="20" w:lineRule="exact"/>
              <w:rPr>
                <w:sz w:val="1"/>
                <w:szCs w:val="1"/>
                <w:color w:val="auto"/>
              </w:rPr>
            </w:pPr>
          </w:p>
        </w:tc>
        <w:tc>
          <w:tcPr>
            <w:tcW w:w="180" w:type="dxa"/>
            <w:vAlign w:val="bottom"/>
            <w:tcBorders>
              <w:bottom w:val="single" w:sz="8" w:color="00000A"/>
              <w:right w:val="single" w:sz="8" w:color="00000A"/>
            </w:tcBorders>
          </w:tcPr>
          <w:p>
            <w:pPr>
              <w:spacing w:after="0" w:line="20" w:lineRule="exact"/>
              <w:rPr>
                <w:sz w:val="1"/>
                <w:szCs w:val="1"/>
                <w:color w:val="auto"/>
              </w:rPr>
            </w:pPr>
          </w:p>
        </w:tc>
        <w:tc>
          <w:tcPr>
            <w:tcW w:w="660" w:type="dxa"/>
            <w:vAlign w:val="bottom"/>
            <w:tcBorders>
              <w:bottom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20" w:type="dxa"/>
            <w:vAlign w:val="bottom"/>
            <w:tcBorders>
              <w:bottom w:val="single" w:sz="8" w:color="00000A"/>
            </w:tcBorders>
          </w:tcPr>
          <w:p>
            <w:pPr>
              <w:spacing w:after="0" w:line="20" w:lineRule="exact"/>
              <w:rPr>
                <w:sz w:val="1"/>
                <w:szCs w:val="1"/>
                <w:color w:val="auto"/>
              </w:rPr>
            </w:pPr>
          </w:p>
        </w:tc>
        <w:tc>
          <w:tcPr>
            <w:tcW w:w="180" w:type="dxa"/>
            <w:vAlign w:val="bottom"/>
            <w:tcBorders>
              <w:bottom w:val="single" w:sz="8" w:color="00000A"/>
              <w:right w:val="single" w:sz="8" w:color="00000A"/>
            </w:tcBorders>
          </w:tcPr>
          <w:p>
            <w:pPr>
              <w:spacing w:after="0" w:line="20" w:lineRule="exact"/>
              <w:rPr>
                <w:sz w:val="1"/>
                <w:szCs w:val="1"/>
                <w:color w:val="auto"/>
              </w:rPr>
            </w:pPr>
          </w:p>
        </w:tc>
        <w:tc>
          <w:tcPr>
            <w:tcW w:w="340" w:type="dxa"/>
            <w:vAlign w:val="bottom"/>
            <w:tcBorders>
              <w:bottom w:val="single" w:sz="8" w:color="00000A"/>
            </w:tcBorders>
          </w:tcPr>
          <w:p>
            <w:pPr>
              <w:spacing w:after="0" w:line="20" w:lineRule="exact"/>
              <w:rPr>
                <w:sz w:val="1"/>
                <w:szCs w:val="1"/>
                <w:color w:val="auto"/>
              </w:rPr>
            </w:pPr>
          </w:p>
        </w:tc>
        <w:tc>
          <w:tcPr>
            <w:tcW w:w="600" w:type="dxa"/>
            <w:vAlign w:val="bottom"/>
            <w:tcBorders>
              <w:bottom w:val="single" w:sz="8" w:color="00000A"/>
            </w:tcBorders>
          </w:tcPr>
          <w:p>
            <w:pPr>
              <w:spacing w:after="0" w:line="20" w:lineRule="exact"/>
              <w:rPr>
                <w:sz w:val="1"/>
                <w:szCs w:val="1"/>
                <w:color w:val="auto"/>
              </w:rPr>
            </w:pPr>
          </w:p>
        </w:tc>
        <w:tc>
          <w:tcPr>
            <w:tcW w:w="360" w:type="dxa"/>
            <w:vAlign w:val="bottom"/>
            <w:tcBorders>
              <w:bottom w:val="single" w:sz="8" w:color="00000A"/>
              <w:right w:val="single" w:sz="8" w:color="00000A"/>
            </w:tcBorders>
          </w:tcPr>
          <w:p>
            <w:pPr>
              <w:spacing w:after="0" w:line="20" w:lineRule="exact"/>
              <w:rPr>
                <w:sz w:val="1"/>
                <w:szCs w:val="1"/>
                <w:color w:val="auto"/>
              </w:rPr>
            </w:pPr>
          </w:p>
        </w:tc>
        <w:tc>
          <w:tcPr>
            <w:tcW w:w="380" w:type="dxa"/>
            <w:vAlign w:val="bottom"/>
            <w:tcBorders>
              <w:bottom w:val="single" w:sz="8" w:color="00000A"/>
            </w:tcBorders>
          </w:tcPr>
          <w:p>
            <w:pPr>
              <w:spacing w:after="0" w:line="20" w:lineRule="exact"/>
              <w:rPr>
                <w:sz w:val="1"/>
                <w:szCs w:val="1"/>
                <w:color w:val="auto"/>
              </w:rPr>
            </w:pPr>
          </w:p>
        </w:tc>
        <w:tc>
          <w:tcPr>
            <w:tcW w:w="600" w:type="dxa"/>
            <w:vAlign w:val="bottom"/>
            <w:tcBorders>
              <w:bottom w:val="single" w:sz="8" w:color="00000A"/>
            </w:tcBorders>
          </w:tcPr>
          <w:p>
            <w:pPr>
              <w:spacing w:after="0" w:line="20" w:lineRule="exact"/>
              <w:rPr>
                <w:sz w:val="1"/>
                <w:szCs w:val="1"/>
                <w:color w:val="auto"/>
              </w:rPr>
            </w:pPr>
          </w:p>
        </w:tc>
        <w:tc>
          <w:tcPr>
            <w:tcW w:w="3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left w:val="single" w:sz="8" w:color="00000A"/>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00000A"/>
            </w:tcBorders>
            <w:gridSpan w:val="2"/>
            <w:shd w:val="clear" w:color="auto" w:fill="CCEEFF"/>
          </w:tcPr>
          <w:p>
            <w:pPr>
              <w:jc w:val="center"/>
              <w:ind w:right="260"/>
              <w:spacing w:after="0"/>
              <w:rPr>
                <w:sz w:val="20"/>
                <w:szCs w:val="20"/>
                <w:color w:val="auto"/>
              </w:rPr>
            </w:pPr>
            <w:r>
              <w:rPr>
                <w:rFonts w:ascii="Arial" w:cs="Arial" w:eastAsia="Arial" w:hAnsi="Arial"/>
                <w:sz w:val="20"/>
                <w:szCs w:val="20"/>
                <w:color w:val="auto"/>
              </w:rPr>
              <w:t>I</w:t>
            </w:r>
          </w:p>
        </w:tc>
        <w:tc>
          <w:tcPr>
            <w:tcW w:w="3000" w:type="dxa"/>
            <w:vAlign w:val="bottom"/>
            <w:tcBorders>
              <w:bottom w:val="single" w:sz="8" w:color="CCEEFF"/>
              <w:right w:val="single" w:sz="8" w:color="00000A"/>
            </w:tcBorders>
            <w:gridSpan w:val="3"/>
            <w:shd w:val="clear" w:color="auto" w:fill="CCEEFF"/>
          </w:tcPr>
          <w:p>
            <w:pPr>
              <w:jc w:val="center"/>
              <w:ind w:right="40"/>
              <w:spacing w:after="0"/>
              <w:rPr>
                <w:sz w:val="20"/>
                <w:szCs w:val="20"/>
                <w:color w:val="auto"/>
              </w:rPr>
            </w:pPr>
            <w:r>
              <w:rPr>
                <w:rFonts w:ascii="Arial" w:cs="Arial" w:eastAsia="Arial" w:hAnsi="Arial"/>
                <w:sz w:val="20"/>
                <w:szCs w:val="20"/>
                <w:color w:val="auto"/>
                <w:w w:val="88"/>
              </w:rPr>
              <w:t>Less than 1.00 to 1.00</w:t>
            </w:r>
          </w:p>
        </w:tc>
        <w:tc>
          <w:tcPr>
            <w:tcW w:w="1700" w:type="dxa"/>
            <w:vAlign w:val="bottom"/>
            <w:tcBorders>
              <w:bottom w:val="single" w:sz="8" w:color="CCEEFF"/>
              <w:right w:val="single" w:sz="8" w:color="00000A"/>
            </w:tcBorders>
            <w:gridSpan w:val="3"/>
            <w:shd w:val="clear" w:color="auto" w:fill="CCEEFF"/>
          </w:tcPr>
          <w:p>
            <w:pPr>
              <w:jc w:val="right"/>
              <w:ind w:right="640"/>
              <w:spacing w:after="0"/>
              <w:rPr>
                <w:sz w:val="20"/>
                <w:szCs w:val="20"/>
                <w:color w:val="auto"/>
              </w:rPr>
            </w:pPr>
            <w:r>
              <w:rPr>
                <w:rFonts w:ascii="Arial" w:cs="Arial" w:eastAsia="Arial" w:hAnsi="Arial"/>
                <w:sz w:val="20"/>
                <w:szCs w:val="20"/>
                <w:color w:val="auto"/>
              </w:rPr>
              <w:t>0.175%</w:t>
            </w:r>
          </w:p>
        </w:tc>
        <w:tc>
          <w:tcPr>
            <w:tcW w:w="12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1.25%</w:t>
            </w:r>
          </w:p>
        </w:tc>
        <w:tc>
          <w:tcPr>
            <w:tcW w:w="180" w:type="dxa"/>
            <w:vAlign w:val="bottom"/>
            <w:tcBorders>
              <w:bottom w:val="single" w:sz="8" w:color="CCEEFF"/>
              <w:right w:val="single" w:sz="8" w:color="00000A"/>
            </w:tcBorders>
            <w:shd w:val="clear" w:color="auto" w:fill="CCEEFF"/>
          </w:tcPr>
          <w:p>
            <w:pPr>
              <w:spacing w:after="0"/>
              <w:rPr>
                <w:sz w:val="23"/>
                <w:szCs w:val="23"/>
                <w:color w:val="auto"/>
              </w:rPr>
            </w:pPr>
          </w:p>
        </w:tc>
        <w:tc>
          <w:tcPr>
            <w:tcW w:w="14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20"/>
                <w:szCs w:val="20"/>
                <w:color w:val="auto"/>
                <w:w w:val="91"/>
              </w:rPr>
              <w:t>0.625%</w:t>
            </w:r>
          </w:p>
        </w:tc>
        <w:tc>
          <w:tcPr>
            <w:tcW w:w="180" w:type="dxa"/>
            <w:vAlign w:val="bottom"/>
            <w:tcBorders>
              <w:bottom w:val="single" w:sz="8" w:color="CCEEFF"/>
              <w:right w:val="single" w:sz="8" w:color="00000A"/>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20"/>
                <w:szCs w:val="20"/>
                <w:color w:val="auto"/>
              </w:rPr>
              <w:t>0.25%</w:t>
            </w:r>
          </w:p>
        </w:tc>
        <w:tc>
          <w:tcPr>
            <w:tcW w:w="360" w:type="dxa"/>
            <w:vAlign w:val="bottom"/>
            <w:tcBorders>
              <w:bottom w:val="single" w:sz="8" w:color="CCEEFF"/>
              <w:right w:val="single" w:sz="8" w:color="00000A"/>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1.25%</w:t>
            </w:r>
          </w:p>
        </w:tc>
        <w:tc>
          <w:tcPr>
            <w:tcW w:w="380" w:type="dxa"/>
            <w:vAlign w:val="bottom"/>
            <w:tcBorders>
              <w:bottom w:val="single" w:sz="8" w:color="CCEEFF"/>
              <w:right w:val="single" w:sz="8" w:color="00000A"/>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60" w:type="dxa"/>
            <w:vAlign w:val="bottom"/>
            <w:tcBorders>
              <w:top w:val="single" w:sz="8" w:color="00000A"/>
              <w:left w:val="single" w:sz="8" w:color="00000A"/>
            </w:tcBorders>
          </w:tcPr>
          <w:p>
            <w:pPr>
              <w:spacing w:after="0"/>
              <w:rPr>
                <w:sz w:val="20"/>
                <w:szCs w:val="20"/>
                <w:color w:val="auto"/>
              </w:rPr>
            </w:pPr>
          </w:p>
        </w:tc>
        <w:tc>
          <w:tcPr>
            <w:tcW w:w="680" w:type="dxa"/>
            <w:vAlign w:val="bottom"/>
            <w:tcBorders>
              <w:top w:val="single" w:sz="8" w:color="00000A"/>
              <w:right w:val="single" w:sz="8" w:color="00000A"/>
            </w:tcBorders>
            <w:gridSpan w:val="2"/>
            <w:vMerge w:val="restart"/>
          </w:tcPr>
          <w:p>
            <w:pPr>
              <w:jc w:val="center"/>
              <w:ind w:right="260"/>
              <w:spacing w:after="0"/>
              <w:rPr>
                <w:sz w:val="20"/>
                <w:szCs w:val="20"/>
                <w:color w:val="auto"/>
              </w:rPr>
            </w:pPr>
            <w:r>
              <w:rPr>
                <w:rFonts w:ascii="Arial" w:cs="Arial" w:eastAsia="Arial" w:hAnsi="Arial"/>
                <w:sz w:val="20"/>
                <w:szCs w:val="20"/>
                <w:color w:val="auto"/>
              </w:rPr>
              <w:t>II</w:t>
            </w:r>
          </w:p>
        </w:tc>
        <w:tc>
          <w:tcPr>
            <w:tcW w:w="300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Greater than or equal to 1.00 to 1.00</w:t>
            </w:r>
          </w:p>
        </w:tc>
        <w:tc>
          <w:tcPr>
            <w:tcW w:w="1700" w:type="dxa"/>
            <w:vAlign w:val="bottom"/>
            <w:tcBorders>
              <w:top w:val="single" w:sz="8" w:color="00000A"/>
              <w:right w:val="single" w:sz="8" w:color="00000A"/>
            </w:tcBorders>
            <w:gridSpan w:val="3"/>
            <w:vMerge w:val="restart"/>
          </w:tcPr>
          <w:p>
            <w:pPr>
              <w:jc w:val="right"/>
              <w:ind w:right="640"/>
              <w:spacing w:after="0"/>
              <w:rPr>
                <w:sz w:val="20"/>
                <w:szCs w:val="20"/>
                <w:color w:val="auto"/>
              </w:rPr>
            </w:pPr>
            <w:r>
              <w:rPr>
                <w:rFonts w:ascii="Arial" w:cs="Arial" w:eastAsia="Arial" w:hAnsi="Arial"/>
                <w:sz w:val="20"/>
                <w:szCs w:val="20"/>
                <w:color w:val="auto"/>
              </w:rPr>
              <w:t>0.200%</w:t>
            </w:r>
          </w:p>
        </w:tc>
        <w:tc>
          <w:tcPr>
            <w:tcW w:w="1280" w:type="dxa"/>
            <w:vAlign w:val="bottom"/>
            <w:tcBorders>
              <w:top w:val="single" w:sz="8" w:color="00000A"/>
            </w:tcBorders>
            <w:gridSpan w:val="2"/>
            <w:vMerge w:val="restart"/>
          </w:tcPr>
          <w:p>
            <w:pPr>
              <w:jc w:val="right"/>
              <w:ind w:right="380"/>
              <w:spacing w:after="0"/>
              <w:rPr>
                <w:sz w:val="20"/>
                <w:szCs w:val="20"/>
                <w:color w:val="auto"/>
              </w:rPr>
            </w:pPr>
            <w:r>
              <w:rPr>
                <w:rFonts w:ascii="Arial" w:cs="Arial" w:eastAsia="Arial" w:hAnsi="Arial"/>
                <w:sz w:val="20"/>
                <w:szCs w:val="20"/>
                <w:color w:val="auto"/>
              </w:rPr>
              <w:t>1.50%</w:t>
            </w:r>
          </w:p>
        </w:tc>
        <w:tc>
          <w:tcPr>
            <w:tcW w:w="180" w:type="dxa"/>
            <w:vAlign w:val="bottom"/>
            <w:tcBorders>
              <w:top w:val="single" w:sz="8" w:color="00000A"/>
              <w:right w:val="single" w:sz="8" w:color="00000A"/>
            </w:tcBorders>
          </w:tcPr>
          <w:p>
            <w:pPr>
              <w:spacing w:after="0"/>
              <w:rPr>
                <w:sz w:val="20"/>
                <w:szCs w:val="20"/>
                <w:color w:val="auto"/>
              </w:rPr>
            </w:pPr>
          </w:p>
        </w:tc>
        <w:tc>
          <w:tcPr>
            <w:tcW w:w="1480" w:type="dxa"/>
            <w:vAlign w:val="bottom"/>
            <w:tcBorders>
              <w:top w:val="single" w:sz="8" w:color="00000A"/>
            </w:tcBorders>
            <w:gridSpan w:val="4"/>
            <w:vMerge w:val="restart"/>
          </w:tcPr>
          <w:p>
            <w:pPr>
              <w:jc w:val="center"/>
              <w:spacing w:after="0"/>
              <w:rPr>
                <w:sz w:val="20"/>
                <w:szCs w:val="20"/>
                <w:color w:val="auto"/>
              </w:rPr>
            </w:pPr>
            <w:r>
              <w:rPr>
                <w:rFonts w:ascii="Arial" w:cs="Arial" w:eastAsia="Arial" w:hAnsi="Arial"/>
                <w:sz w:val="20"/>
                <w:szCs w:val="20"/>
                <w:color w:val="auto"/>
                <w:w w:val="88"/>
              </w:rPr>
              <w:t>0.75%</w:t>
            </w:r>
          </w:p>
        </w:tc>
        <w:tc>
          <w:tcPr>
            <w:tcW w:w="180" w:type="dxa"/>
            <w:vAlign w:val="bottom"/>
            <w:tcBorders>
              <w:top w:val="single" w:sz="8" w:color="00000A"/>
              <w:right w:val="single" w:sz="8" w:color="00000A"/>
            </w:tcBorders>
          </w:tcPr>
          <w:p>
            <w:pPr>
              <w:spacing w:after="0"/>
              <w:rPr>
                <w:sz w:val="20"/>
                <w:szCs w:val="20"/>
                <w:color w:val="auto"/>
              </w:rPr>
            </w:pPr>
          </w:p>
        </w:tc>
        <w:tc>
          <w:tcPr>
            <w:tcW w:w="940" w:type="dxa"/>
            <w:vAlign w:val="bottom"/>
            <w:tcBorders>
              <w:top w:val="single" w:sz="8" w:color="00000A"/>
            </w:tcBorders>
            <w:gridSpan w:val="2"/>
            <w:vMerge w:val="restart"/>
          </w:tcPr>
          <w:p>
            <w:pPr>
              <w:ind w:left="300"/>
              <w:spacing w:after="0"/>
              <w:rPr>
                <w:sz w:val="20"/>
                <w:szCs w:val="20"/>
                <w:color w:val="auto"/>
              </w:rPr>
            </w:pPr>
            <w:r>
              <w:rPr>
                <w:rFonts w:ascii="Arial" w:cs="Arial" w:eastAsia="Arial" w:hAnsi="Arial"/>
                <w:sz w:val="20"/>
                <w:szCs w:val="20"/>
                <w:color w:val="auto"/>
              </w:rPr>
              <w:t>0.50%</w:t>
            </w:r>
          </w:p>
        </w:tc>
        <w:tc>
          <w:tcPr>
            <w:tcW w:w="360" w:type="dxa"/>
            <w:vAlign w:val="bottom"/>
            <w:tcBorders>
              <w:top w:val="single" w:sz="8" w:color="00000A"/>
              <w:right w:val="single" w:sz="8" w:color="00000A"/>
            </w:tcBorders>
          </w:tcPr>
          <w:p>
            <w:pPr>
              <w:spacing w:after="0"/>
              <w:rPr>
                <w:sz w:val="20"/>
                <w:szCs w:val="20"/>
                <w:color w:val="auto"/>
              </w:rPr>
            </w:pPr>
          </w:p>
        </w:tc>
        <w:tc>
          <w:tcPr>
            <w:tcW w:w="980" w:type="dxa"/>
            <w:vAlign w:val="bottom"/>
            <w:tcBorders>
              <w:top w:val="single" w:sz="8" w:color="00000A"/>
            </w:tcBorders>
            <w:gridSpan w:val="2"/>
            <w:vMerge w:val="restart"/>
          </w:tcPr>
          <w:p>
            <w:pPr>
              <w:ind w:left="340"/>
              <w:spacing w:after="0"/>
              <w:rPr>
                <w:sz w:val="20"/>
                <w:szCs w:val="20"/>
                <w:color w:val="auto"/>
              </w:rPr>
            </w:pPr>
            <w:r>
              <w:rPr>
                <w:rFonts w:ascii="Arial" w:cs="Arial" w:eastAsia="Arial" w:hAnsi="Arial"/>
                <w:sz w:val="20"/>
                <w:szCs w:val="20"/>
                <w:color w:val="auto"/>
              </w:rPr>
              <w:t>1.50%</w:t>
            </w:r>
          </w:p>
        </w:tc>
        <w:tc>
          <w:tcPr>
            <w:tcW w:w="380" w:type="dxa"/>
            <w:vAlign w:val="bottom"/>
            <w:tcBorders>
              <w:top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00000A"/>
            </w:tcBorders>
          </w:tcPr>
          <w:p>
            <w:pPr>
              <w:spacing w:after="0"/>
              <w:rPr>
                <w:sz w:val="11"/>
                <w:szCs w:val="11"/>
                <w:color w:val="auto"/>
              </w:rPr>
            </w:pPr>
          </w:p>
        </w:tc>
        <w:tc>
          <w:tcPr>
            <w:tcW w:w="680" w:type="dxa"/>
            <w:vAlign w:val="bottom"/>
            <w:tcBorders>
              <w:right w:val="single" w:sz="8" w:color="00000A"/>
            </w:tcBorders>
            <w:gridSpan w:val="2"/>
            <w:vMerge w:val="continue"/>
          </w:tcPr>
          <w:p>
            <w:pPr>
              <w:spacing w:after="0"/>
              <w:rPr>
                <w:sz w:val="11"/>
                <w:szCs w:val="11"/>
                <w:color w:val="auto"/>
              </w:rPr>
            </w:pPr>
          </w:p>
        </w:tc>
        <w:tc>
          <w:tcPr>
            <w:tcW w:w="3000" w:type="dxa"/>
            <w:vAlign w:val="bottom"/>
            <w:tcBorders>
              <w:right w:val="single" w:sz="8" w:color="00000A"/>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but less than 1.50 to 1.00</w:t>
            </w:r>
          </w:p>
        </w:tc>
        <w:tc>
          <w:tcPr>
            <w:tcW w:w="1700" w:type="dxa"/>
            <w:vAlign w:val="bottom"/>
            <w:tcBorders>
              <w:right w:val="single" w:sz="8" w:color="00000A"/>
            </w:tcBorders>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Borders>
              <w:right w:val="single" w:sz="8" w:color="00000A"/>
            </w:tcBorders>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180" w:type="dxa"/>
            <w:vAlign w:val="bottom"/>
            <w:tcBorders>
              <w:right w:val="single" w:sz="8" w:color="00000A"/>
            </w:tcBorders>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360" w:type="dxa"/>
            <w:vAlign w:val="bottom"/>
            <w:tcBorders>
              <w:right w:val="single" w:sz="8" w:color="00000A"/>
            </w:tcBorders>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80" w:type="dxa"/>
            <w:vAlign w:val="bottom"/>
            <w:tcBorders>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00000A"/>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right w:val="single" w:sz="8" w:color="00000A"/>
            </w:tcBorders>
          </w:tcPr>
          <w:p>
            <w:pPr>
              <w:spacing w:after="0"/>
              <w:rPr>
                <w:sz w:val="10"/>
                <w:szCs w:val="10"/>
                <w:color w:val="auto"/>
              </w:rPr>
            </w:pPr>
          </w:p>
        </w:tc>
        <w:tc>
          <w:tcPr>
            <w:tcW w:w="3000" w:type="dxa"/>
            <w:vAlign w:val="bottom"/>
            <w:tcBorders>
              <w:right w:val="single" w:sz="8" w:color="00000A"/>
            </w:tcBorders>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Borders>
              <w:right w:val="single" w:sz="8" w:color="00000A"/>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Borders>
              <w:right w:val="single" w:sz="8" w:color="00000A"/>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00000A"/>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Borders>
              <w:right w:val="single" w:sz="8" w:color="00000A"/>
            </w:tcBorders>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0" w:type="dxa"/>
            <w:vAlign w:val="bottom"/>
            <w:tcBorders>
              <w:left w:val="single" w:sz="8" w:color="00000A"/>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280" w:type="dxa"/>
            <w:vAlign w:val="bottom"/>
            <w:tcBorders>
              <w:bottom w:val="single" w:sz="8" w:color="00000A"/>
            </w:tcBorders>
          </w:tcPr>
          <w:p>
            <w:pPr>
              <w:spacing w:after="0"/>
              <w:rPr>
                <w:sz w:val="2"/>
                <w:szCs w:val="2"/>
                <w:color w:val="auto"/>
              </w:rPr>
            </w:pPr>
          </w:p>
        </w:tc>
        <w:tc>
          <w:tcPr>
            <w:tcW w:w="8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720" w:type="dxa"/>
            <w:vAlign w:val="bottom"/>
            <w:tcBorders>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18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8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8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360" w:type="dxa"/>
            <w:vAlign w:val="bottom"/>
            <w:tcBorders>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3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0" w:type="dxa"/>
            <w:vAlign w:val="bottom"/>
            <w:tcBorders>
              <w:left w:val="single" w:sz="8" w:color="00000A"/>
            </w:tcBorders>
            <w:shd w:val="clear" w:color="auto" w:fill="CCEEFF"/>
          </w:tcPr>
          <w:p>
            <w:pPr>
              <w:spacing w:after="0"/>
              <w:rPr>
                <w:sz w:val="20"/>
                <w:szCs w:val="20"/>
                <w:color w:val="auto"/>
              </w:rPr>
            </w:pPr>
          </w:p>
        </w:tc>
        <w:tc>
          <w:tcPr>
            <w:tcW w:w="680" w:type="dxa"/>
            <w:vAlign w:val="bottom"/>
            <w:tcBorders>
              <w:right w:val="single" w:sz="8" w:color="00000A"/>
            </w:tcBorders>
            <w:gridSpan w:val="2"/>
            <w:vMerge w:val="restart"/>
            <w:shd w:val="clear" w:color="auto" w:fill="CCEEFF"/>
          </w:tcPr>
          <w:p>
            <w:pPr>
              <w:jc w:val="center"/>
              <w:ind w:right="280"/>
              <w:spacing w:after="0"/>
              <w:rPr>
                <w:sz w:val="20"/>
                <w:szCs w:val="20"/>
                <w:color w:val="auto"/>
              </w:rPr>
            </w:pPr>
            <w:r>
              <w:rPr>
                <w:rFonts w:ascii="Arial" w:cs="Arial" w:eastAsia="Arial" w:hAnsi="Arial"/>
                <w:sz w:val="20"/>
                <w:szCs w:val="20"/>
                <w:color w:val="auto"/>
              </w:rPr>
              <w:t>III</w:t>
            </w:r>
          </w:p>
        </w:tc>
        <w:tc>
          <w:tcPr>
            <w:tcW w:w="3000" w:type="dxa"/>
            <w:vAlign w:val="bottom"/>
            <w:tcBorders>
              <w:right w:val="single" w:sz="8" w:color="00000A"/>
            </w:tcBorders>
            <w:gridSpan w:val="3"/>
            <w:shd w:val="clear" w:color="auto" w:fill="CCEEFF"/>
          </w:tcPr>
          <w:p>
            <w:pPr>
              <w:jc w:val="center"/>
              <w:ind w:right="40"/>
              <w:spacing w:after="0"/>
              <w:rPr>
                <w:sz w:val="20"/>
                <w:szCs w:val="20"/>
                <w:color w:val="auto"/>
              </w:rPr>
            </w:pPr>
            <w:r>
              <w:rPr>
                <w:rFonts w:ascii="Arial" w:cs="Arial" w:eastAsia="Arial" w:hAnsi="Arial"/>
                <w:sz w:val="20"/>
                <w:szCs w:val="20"/>
                <w:color w:val="auto"/>
                <w:w w:val="89"/>
              </w:rPr>
              <w:t>Greater than or equal to 1.50 to 1.00</w:t>
            </w:r>
          </w:p>
        </w:tc>
        <w:tc>
          <w:tcPr>
            <w:tcW w:w="1700" w:type="dxa"/>
            <w:vAlign w:val="bottom"/>
            <w:tcBorders>
              <w:right w:val="single" w:sz="8" w:color="00000A"/>
            </w:tcBorders>
            <w:gridSpan w:val="3"/>
            <w:vMerge w:val="restart"/>
            <w:shd w:val="clear" w:color="auto" w:fill="CCEEFF"/>
          </w:tcPr>
          <w:p>
            <w:pPr>
              <w:jc w:val="right"/>
              <w:ind w:right="640"/>
              <w:spacing w:after="0"/>
              <w:rPr>
                <w:sz w:val="20"/>
                <w:szCs w:val="20"/>
                <w:color w:val="auto"/>
              </w:rPr>
            </w:pPr>
            <w:r>
              <w:rPr>
                <w:rFonts w:ascii="Arial" w:cs="Arial" w:eastAsia="Arial" w:hAnsi="Arial"/>
                <w:sz w:val="20"/>
                <w:szCs w:val="20"/>
                <w:color w:val="auto"/>
              </w:rPr>
              <w:t>0.225%</w:t>
            </w:r>
          </w:p>
        </w:tc>
        <w:tc>
          <w:tcPr>
            <w:tcW w:w="12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20"/>
                <w:szCs w:val="20"/>
                <w:color w:val="auto"/>
              </w:rPr>
              <w:t>1.75%</w:t>
            </w:r>
          </w:p>
        </w:tc>
        <w:tc>
          <w:tcPr>
            <w:tcW w:w="180" w:type="dxa"/>
            <w:vAlign w:val="bottom"/>
            <w:tcBorders>
              <w:right w:val="single" w:sz="8" w:color="00000A"/>
            </w:tcBorders>
            <w:shd w:val="clear" w:color="auto" w:fill="CCEEFF"/>
          </w:tcPr>
          <w:p>
            <w:pPr>
              <w:spacing w:after="0"/>
              <w:rPr>
                <w:sz w:val="20"/>
                <w:szCs w:val="20"/>
                <w:color w:val="auto"/>
              </w:rPr>
            </w:pPr>
          </w:p>
        </w:tc>
        <w:tc>
          <w:tcPr>
            <w:tcW w:w="1480" w:type="dxa"/>
            <w:vAlign w:val="bottom"/>
            <w:gridSpan w:val="4"/>
            <w:vMerge w:val="restart"/>
            <w:shd w:val="clear" w:color="auto" w:fill="CCEEFF"/>
          </w:tcPr>
          <w:p>
            <w:pPr>
              <w:jc w:val="center"/>
              <w:spacing w:after="0"/>
              <w:rPr>
                <w:sz w:val="20"/>
                <w:szCs w:val="20"/>
                <w:color w:val="auto"/>
              </w:rPr>
            </w:pPr>
            <w:r>
              <w:rPr>
                <w:rFonts w:ascii="Arial" w:cs="Arial" w:eastAsia="Arial" w:hAnsi="Arial"/>
                <w:sz w:val="20"/>
                <w:szCs w:val="20"/>
                <w:color w:val="auto"/>
                <w:w w:val="91"/>
              </w:rPr>
              <w:t>0.875%</w:t>
            </w:r>
          </w:p>
        </w:tc>
        <w:tc>
          <w:tcPr>
            <w:tcW w:w="180" w:type="dxa"/>
            <w:vAlign w:val="bottom"/>
            <w:tcBorders>
              <w:right w:val="single" w:sz="8" w:color="00000A"/>
            </w:tcBorders>
            <w:shd w:val="clear" w:color="auto" w:fill="CCEEFF"/>
          </w:tcPr>
          <w:p>
            <w:pPr>
              <w:spacing w:after="0"/>
              <w:rPr>
                <w:sz w:val="20"/>
                <w:szCs w:val="20"/>
                <w:color w:val="auto"/>
              </w:rPr>
            </w:pPr>
          </w:p>
        </w:tc>
        <w:tc>
          <w:tcPr>
            <w:tcW w:w="940" w:type="dxa"/>
            <w:vAlign w:val="bottom"/>
            <w:gridSpan w:val="2"/>
            <w:vMerge w:val="restart"/>
            <w:shd w:val="clear" w:color="auto" w:fill="CCEEFF"/>
          </w:tcPr>
          <w:p>
            <w:pPr>
              <w:ind w:left="300"/>
              <w:spacing w:after="0"/>
              <w:rPr>
                <w:sz w:val="20"/>
                <w:szCs w:val="20"/>
                <w:color w:val="auto"/>
              </w:rPr>
            </w:pPr>
            <w:r>
              <w:rPr>
                <w:rFonts w:ascii="Arial" w:cs="Arial" w:eastAsia="Arial" w:hAnsi="Arial"/>
                <w:sz w:val="20"/>
                <w:szCs w:val="20"/>
                <w:color w:val="auto"/>
              </w:rPr>
              <w:t>0.75%</w:t>
            </w:r>
          </w:p>
        </w:tc>
        <w:tc>
          <w:tcPr>
            <w:tcW w:w="360" w:type="dxa"/>
            <w:vAlign w:val="bottom"/>
            <w:tcBorders>
              <w:right w:val="single" w:sz="8" w:color="00000A"/>
            </w:tcBorders>
            <w:shd w:val="clear" w:color="auto" w:fill="CCEEFF"/>
          </w:tcPr>
          <w:p>
            <w:pPr>
              <w:spacing w:after="0"/>
              <w:rPr>
                <w:sz w:val="20"/>
                <w:szCs w:val="20"/>
                <w:color w:val="auto"/>
              </w:rPr>
            </w:pPr>
          </w:p>
        </w:tc>
        <w:tc>
          <w:tcPr>
            <w:tcW w:w="980" w:type="dxa"/>
            <w:vAlign w:val="bottom"/>
            <w:gridSpan w:val="2"/>
            <w:vMerge w:val="restart"/>
            <w:shd w:val="clear" w:color="auto" w:fill="CCEEFF"/>
          </w:tcPr>
          <w:p>
            <w:pPr>
              <w:ind w:left="340"/>
              <w:spacing w:after="0"/>
              <w:rPr>
                <w:sz w:val="20"/>
                <w:szCs w:val="20"/>
                <w:color w:val="auto"/>
              </w:rPr>
            </w:pPr>
            <w:r>
              <w:rPr>
                <w:rFonts w:ascii="Arial" w:cs="Arial" w:eastAsia="Arial" w:hAnsi="Arial"/>
                <w:sz w:val="20"/>
                <w:szCs w:val="20"/>
                <w:color w:val="auto"/>
              </w:rPr>
              <w:t>1.75%</w:t>
            </w:r>
          </w:p>
        </w:tc>
        <w:tc>
          <w:tcPr>
            <w:tcW w:w="380" w:type="dxa"/>
            <w:vAlign w:val="bottom"/>
            <w:tcBorders>
              <w:right w:val="single" w:sz="8" w:color="00000A"/>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00000A"/>
            </w:tcBorders>
            <w:shd w:val="clear" w:color="auto" w:fill="CCEEFF"/>
          </w:tcPr>
          <w:p>
            <w:pPr>
              <w:spacing w:after="0"/>
              <w:rPr>
                <w:sz w:val="11"/>
                <w:szCs w:val="11"/>
                <w:color w:val="auto"/>
              </w:rPr>
            </w:pPr>
          </w:p>
        </w:tc>
        <w:tc>
          <w:tcPr>
            <w:tcW w:w="680" w:type="dxa"/>
            <w:vAlign w:val="bottom"/>
            <w:tcBorders>
              <w:right w:val="single" w:sz="8" w:color="00000A"/>
            </w:tcBorders>
            <w:gridSpan w:val="2"/>
            <w:vMerge w:val="continue"/>
            <w:shd w:val="clear" w:color="auto" w:fill="CCEEFF"/>
          </w:tcPr>
          <w:p>
            <w:pPr>
              <w:spacing w:after="0"/>
              <w:rPr>
                <w:sz w:val="11"/>
                <w:szCs w:val="11"/>
                <w:color w:val="auto"/>
              </w:rPr>
            </w:pPr>
          </w:p>
        </w:tc>
        <w:tc>
          <w:tcPr>
            <w:tcW w:w="3000" w:type="dxa"/>
            <w:vAlign w:val="bottom"/>
            <w:tcBorders>
              <w:right w:val="single" w:sz="8" w:color="00000A"/>
            </w:tcBorders>
            <w:gridSpan w:val="3"/>
            <w:vMerge w:val="restart"/>
            <w:shd w:val="clear" w:color="auto" w:fill="CCEEFF"/>
          </w:tcPr>
          <w:p>
            <w:pPr>
              <w:jc w:val="center"/>
              <w:ind w:right="40"/>
              <w:spacing w:after="0"/>
              <w:rPr>
                <w:sz w:val="20"/>
                <w:szCs w:val="20"/>
                <w:color w:val="auto"/>
              </w:rPr>
            </w:pPr>
            <w:r>
              <w:rPr>
                <w:rFonts w:ascii="Arial" w:cs="Arial" w:eastAsia="Arial" w:hAnsi="Arial"/>
                <w:sz w:val="20"/>
                <w:szCs w:val="20"/>
                <w:color w:val="auto"/>
                <w:w w:val="89"/>
              </w:rPr>
              <w:t>but less than 2.00 to 1.00</w:t>
            </w:r>
          </w:p>
        </w:tc>
        <w:tc>
          <w:tcPr>
            <w:tcW w:w="1700" w:type="dxa"/>
            <w:vAlign w:val="bottom"/>
            <w:tcBorders>
              <w:right w:val="single" w:sz="8" w:color="00000A"/>
            </w:tcBorders>
            <w:gridSpan w:val="3"/>
            <w:vMerge w:val="continue"/>
            <w:shd w:val="clear" w:color="auto" w:fill="CCEEFF"/>
          </w:tcPr>
          <w:p>
            <w:pPr>
              <w:spacing w:after="0"/>
              <w:rPr>
                <w:sz w:val="11"/>
                <w:szCs w:val="11"/>
                <w:color w:val="auto"/>
              </w:rPr>
            </w:pPr>
          </w:p>
        </w:tc>
        <w:tc>
          <w:tcPr>
            <w:tcW w:w="1280" w:type="dxa"/>
            <w:vAlign w:val="bottom"/>
            <w:gridSpan w:val="2"/>
            <w:vMerge w:val="continue"/>
            <w:shd w:val="clear" w:color="auto" w:fill="CCEEFF"/>
          </w:tcPr>
          <w:p>
            <w:pPr>
              <w:spacing w:after="0"/>
              <w:rPr>
                <w:sz w:val="11"/>
                <w:szCs w:val="11"/>
                <w:color w:val="auto"/>
              </w:rPr>
            </w:pPr>
          </w:p>
        </w:tc>
        <w:tc>
          <w:tcPr>
            <w:tcW w:w="180" w:type="dxa"/>
            <w:vAlign w:val="bottom"/>
            <w:tcBorders>
              <w:right w:val="single" w:sz="8" w:color="00000A"/>
            </w:tcBorders>
            <w:shd w:val="clear" w:color="auto" w:fill="CCEEFF"/>
          </w:tcPr>
          <w:p>
            <w:pPr>
              <w:spacing w:after="0"/>
              <w:rPr>
                <w:sz w:val="11"/>
                <w:szCs w:val="11"/>
                <w:color w:val="auto"/>
              </w:rPr>
            </w:pPr>
          </w:p>
        </w:tc>
        <w:tc>
          <w:tcPr>
            <w:tcW w:w="1480" w:type="dxa"/>
            <w:vAlign w:val="bottom"/>
            <w:gridSpan w:val="4"/>
            <w:vMerge w:val="continue"/>
            <w:shd w:val="clear" w:color="auto" w:fill="CCEEFF"/>
          </w:tcPr>
          <w:p>
            <w:pPr>
              <w:spacing w:after="0"/>
              <w:rPr>
                <w:sz w:val="11"/>
                <w:szCs w:val="11"/>
                <w:color w:val="auto"/>
              </w:rPr>
            </w:pPr>
          </w:p>
        </w:tc>
        <w:tc>
          <w:tcPr>
            <w:tcW w:w="180" w:type="dxa"/>
            <w:vAlign w:val="bottom"/>
            <w:tcBorders>
              <w:right w:val="single" w:sz="8" w:color="00000A"/>
            </w:tcBorders>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00000A"/>
            </w:tcBorders>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380" w:type="dxa"/>
            <w:vAlign w:val="bottom"/>
            <w:tcBorders>
              <w:right w:val="single" w:sz="8" w:color="00000A"/>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Borders>
              <w:left w:val="single" w:sz="8" w:color="00000A"/>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right w:val="single" w:sz="8" w:color="00000A"/>
            </w:tcBorders>
            <w:shd w:val="clear" w:color="auto" w:fill="CCEEFF"/>
          </w:tcPr>
          <w:p>
            <w:pPr>
              <w:spacing w:after="0"/>
              <w:rPr>
                <w:sz w:val="12"/>
                <w:szCs w:val="12"/>
                <w:color w:val="auto"/>
              </w:rPr>
            </w:pPr>
          </w:p>
        </w:tc>
        <w:tc>
          <w:tcPr>
            <w:tcW w:w="3000" w:type="dxa"/>
            <w:vAlign w:val="bottom"/>
            <w:tcBorders>
              <w:bottom w:val="single" w:sz="8" w:color="CCEEFF"/>
              <w:right w:val="single" w:sz="8" w:color="00000A"/>
            </w:tcBorders>
            <w:gridSpan w:val="3"/>
            <w:vMerge w:val="continue"/>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right w:val="single" w:sz="8" w:color="00000A"/>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00000A"/>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00000A"/>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right w:val="single" w:sz="8" w:color="00000A"/>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00000A"/>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60" w:type="dxa"/>
            <w:vAlign w:val="bottom"/>
            <w:tcBorders>
              <w:top w:val="single" w:sz="8" w:color="00000A"/>
              <w:left w:val="single" w:sz="8" w:color="00000A"/>
            </w:tcBorders>
          </w:tcPr>
          <w:p>
            <w:pPr>
              <w:spacing w:after="0"/>
              <w:rPr>
                <w:sz w:val="20"/>
                <w:szCs w:val="20"/>
                <w:color w:val="auto"/>
              </w:rPr>
            </w:pPr>
          </w:p>
        </w:tc>
        <w:tc>
          <w:tcPr>
            <w:tcW w:w="680" w:type="dxa"/>
            <w:vAlign w:val="bottom"/>
            <w:tcBorders>
              <w:top w:val="single" w:sz="8" w:color="00000A"/>
              <w:right w:val="single" w:sz="8" w:color="00000A"/>
            </w:tcBorders>
            <w:gridSpan w:val="2"/>
            <w:vMerge w:val="restart"/>
          </w:tcPr>
          <w:p>
            <w:pPr>
              <w:jc w:val="center"/>
              <w:ind w:right="260"/>
              <w:spacing w:after="0"/>
              <w:rPr>
                <w:sz w:val="20"/>
                <w:szCs w:val="20"/>
                <w:color w:val="auto"/>
              </w:rPr>
            </w:pPr>
            <w:r>
              <w:rPr>
                <w:rFonts w:ascii="Arial" w:cs="Arial" w:eastAsia="Arial" w:hAnsi="Arial"/>
                <w:sz w:val="20"/>
                <w:szCs w:val="20"/>
                <w:color w:val="auto"/>
              </w:rPr>
              <w:t>IV</w:t>
            </w:r>
          </w:p>
        </w:tc>
        <w:tc>
          <w:tcPr>
            <w:tcW w:w="300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Greater than or equal to 2.00 to 1.00</w:t>
            </w:r>
          </w:p>
        </w:tc>
        <w:tc>
          <w:tcPr>
            <w:tcW w:w="1700" w:type="dxa"/>
            <w:vAlign w:val="bottom"/>
            <w:tcBorders>
              <w:top w:val="single" w:sz="8" w:color="00000A"/>
              <w:right w:val="single" w:sz="8" w:color="00000A"/>
            </w:tcBorders>
            <w:gridSpan w:val="3"/>
            <w:vMerge w:val="restart"/>
          </w:tcPr>
          <w:p>
            <w:pPr>
              <w:jc w:val="right"/>
              <w:ind w:right="640"/>
              <w:spacing w:after="0"/>
              <w:rPr>
                <w:sz w:val="20"/>
                <w:szCs w:val="20"/>
                <w:color w:val="auto"/>
              </w:rPr>
            </w:pPr>
            <w:r>
              <w:rPr>
                <w:rFonts w:ascii="Arial" w:cs="Arial" w:eastAsia="Arial" w:hAnsi="Arial"/>
                <w:sz w:val="20"/>
                <w:szCs w:val="20"/>
                <w:color w:val="auto"/>
              </w:rPr>
              <w:t>0.250%</w:t>
            </w:r>
          </w:p>
        </w:tc>
        <w:tc>
          <w:tcPr>
            <w:tcW w:w="1280" w:type="dxa"/>
            <w:vAlign w:val="bottom"/>
            <w:tcBorders>
              <w:top w:val="single" w:sz="8" w:color="00000A"/>
            </w:tcBorders>
            <w:gridSpan w:val="2"/>
            <w:vMerge w:val="restart"/>
          </w:tcPr>
          <w:p>
            <w:pPr>
              <w:jc w:val="right"/>
              <w:ind w:right="380"/>
              <w:spacing w:after="0"/>
              <w:rPr>
                <w:sz w:val="20"/>
                <w:szCs w:val="20"/>
                <w:color w:val="auto"/>
              </w:rPr>
            </w:pPr>
            <w:r>
              <w:rPr>
                <w:rFonts w:ascii="Arial" w:cs="Arial" w:eastAsia="Arial" w:hAnsi="Arial"/>
                <w:sz w:val="20"/>
                <w:szCs w:val="20"/>
                <w:color w:val="auto"/>
              </w:rPr>
              <w:t>2.00%</w:t>
            </w:r>
          </w:p>
        </w:tc>
        <w:tc>
          <w:tcPr>
            <w:tcW w:w="180" w:type="dxa"/>
            <w:vAlign w:val="bottom"/>
            <w:tcBorders>
              <w:top w:val="single" w:sz="8" w:color="00000A"/>
              <w:right w:val="single" w:sz="8" w:color="00000A"/>
            </w:tcBorders>
          </w:tcPr>
          <w:p>
            <w:pPr>
              <w:spacing w:after="0"/>
              <w:rPr>
                <w:sz w:val="20"/>
                <w:szCs w:val="20"/>
                <w:color w:val="auto"/>
              </w:rPr>
            </w:pPr>
          </w:p>
        </w:tc>
        <w:tc>
          <w:tcPr>
            <w:tcW w:w="1480" w:type="dxa"/>
            <w:vAlign w:val="bottom"/>
            <w:tcBorders>
              <w:top w:val="single" w:sz="8" w:color="00000A"/>
            </w:tcBorders>
            <w:gridSpan w:val="4"/>
            <w:vMerge w:val="restart"/>
          </w:tcPr>
          <w:p>
            <w:pPr>
              <w:jc w:val="center"/>
              <w:spacing w:after="0"/>
              <w:rPr>
                <w:sz w:val="20"/>
                <w:szCs w:val="20"/>
                <w:color w:val="auto"/>
              </w:rPr>
            </w:pPr>
            <w:r>
              <w:rPr>
                <w:rFonts w:ascii="Arial" w:cs="Arial" w:eastAsia="Arial" w:hAnsi="Arial"/>
                <w:sz w:val="20"/>
                <w:szCs w:val="20"/>
                <w:color w:val="auto"/>
                <w:w w:val="88"/>
              </w:rPr>
              <w:t>1.00%</w:t>
            </w:r>
          </w:p>
        </w:tc>
        <w:tc>
          <w:tcPr>
            <w:tcW w:w="180" w:type="dxa"/>
            <w:vAlign w:val="bottom"/>
            <w:tcBorders>
              <w:top w:val="single" w:sz="8" w:color="00000A"/>
              <w:right w:val="single" w:sz="8" w:color="00000A"/>
            </w:tcBorders>
          </w:tcPr>
          <w:p>
            <w:pPr>
              <w:spacing w:after="0"/>
              <w:rPr>
                <w:sz w:val="20"/>
                <w:szCs w:val="20"/>
                <w:color w:val="auto"/>
              </w:rPr>
            </w:pPr>
          </w:p>
        </w:tc>
        <w:tc>
          <w:tcPr>
            <w:tcW w:w="940" w:type="dxa"/>
            <w:vAlign w:val="bottom"/>
            <w:tcBorders>
              <w:top w:val="single" w:sz="8" w:color="00000A"/>
            </w:tcBorders>
            <w:gridSpan w:val="2"/>
            <w:vMerge w:val="restart"/>
          </w:tcPr>
          <w:p>
            <w:pPr>
              <w:ind w:left="300"/>
              <w:spacing w:after="0"/>
              <w:rPr>
                <w:sz w:val="20"/>
                <w:szCs w:val="20"/>
                <w:color w:val="auto"/>
              </w:rPr>
            </w:pPr>
            <w:r>
              <w:rPr>
                <w:rFonts w:ascii="Arial" w:cs="Arial" w:eastAsia="Arial" w:hAnsi="Arial"/>
                <w:sz w:val="20"/>
                <w:szCs w:val="20"/>
                <w:color w:val="auto"/>
              </w:rPr>
              <w:t>1.00%</w:t>
            </w:r>
          </w:p>
        </w:tc>
        <w:tc>
          <w:tcPr>
            <w:tcW w:w="360" w:type="dxa"/>
            <w:vAlign w:val="bottom"/>
            <w:tcBorders>
              <w:top w:val="single" w:sz="8" w:color="00000A"/>
              <w:right w:val="single" w:sz="8" w:color="00000A"/>
            </w:tcBorders>
          </w:tcPr>
          <w:p>
            <w:pPr>
              <w:spacing w:after="0"/>
              <w:rPr>
                <w:sz w:val="20"/>
                <w:szCs w:val="20"/>
                <w:color w:val="auto"/>
              </w:rPr>
            </w:pPr>
          </w:p>
        </w:tc>
        <w:tc>
          <w:tcPr>
            <w:tcW w:w="980" w:type="dxa"/>
            <w:vAlign w:val="bottom"/>
            <w:tcBorders>
              <w:top w:val="single" w:sz="8" w:color="00000A"/>
            </w:tcBorders>
            <w:gridSpan w:val="2"/>
            <w:vMerge w:val="restart"/>
          </w:tcPr>
          <w:p>
            <w:pPr>
              <w:ind w:left="340"/>
              <w:spacing w:after="0"/>
              <w:rPr>
                <w:sz w:val="20"/>
                <w:szCs w:val="20"/>
                <w:color w:val="auto"/>
              </w:rPr>
            </w:pPr>
            <w:r>
              <w:rPr>
                <w:rFonts w:ascii="Arial" w:cs="Arial" w:eastAsia="Arial" w:hAnsi="Arial"/>
                <w:sz w:val="20"/>
                <w:szCs w:val="20"/>
                <w:color w:val="auto"/>
              </w:rPr>
              <w:t>2.00%</w:t>
            </w:r>
          </w:p>
        </w:tc>
        <w:tc>
          <w:tcPr>
            <w:tcW w:w="380" w:type="dxa"/>
            <w:vAlign w:val="bottom"/>
            <w:tcBorders>
              <w:top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00000A"/>
            </w:tcBorders>
          </w:tcPr>
          <w:p>
            <w:pPr>
              <w:spacing w:after="0"/>
              <w:rPr>
                <w:sz w:val="11"/>
                <w:szCs w:val="11"/>
                <w:color w:val="auto"/>
              </w:rPr>
            </w:pPr>
          </w:p>
        </w:tc>
        <w:tc>
          <w:tcPr>
            <w:tcW w:w="680" w:type="dxa"/>
            <w:vAlign w:val="bottom"/>
            <w:tcBorders>
              <w:right w:val="single" w:sz="8" w:color="00000A"/>
            </w:tcBorders>
            <w:gridSpan w:val="2"/>
            <w:vMerge w:val="continue"/>
          </w:tcPr>
          <w:p>
            <w:pPr>
              <w:spacing w:after="0"/>
              <w:rPr>
                <w:sz w:val="11"/>
                <w:szCs w:val="11"/>
                <w:color w:val="auto"/>
              </w:rPr>
            </w:pPr>
          </w:p>
        </w:tc>
        <w:tc>
          <w:tcPr>
            <w:tcW w:w="3000" w:type="dxa"/>
            <w:vAlign w:val="bottom"/>
            <w:tcBorders>
              <w:right w:val="single" w:sz="8" w:color="00000A"/>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but less than 2.50 to 1.00</w:t>
            </w:r>
          </w:p>
        </w:tc>
        <w:tc>
          <w:tcPr>
            <w:tcW w:w="1700" w:type="dxa"/>
            <w:vAlign w:val="bottom"/>
            <w:tcBorders>
              <w:right w:val="single" w:sz="8" w:color="00000A"/>
            </w:tcBorders>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Borders>
              <w:right w:val="single" w:sz="8" w:color="00000A"/>
            </w:tcBorders>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180" w:type="dxa"/>
            <w:vAlign w:val="bottom"/>
            <w:tcBorders>
              <w:right w:val="single" w:sz="8" w:color="00000A"/>
            </w:tcBorders>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360" w:type="dxa"/>
            <w:vAlign w:val="bottom"/>
            <w:tcBorders>
              <w:right w:val="single" w:sz="8" w:color="00000A"/>
            </w:tcBorders>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80" w:type="dxa"/>
            <w:vAlign w:val="bottom"/>
            <w:tcBorders>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00000A"/>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right w:val="single" w:sz="8" w:color="00000A"/>
            </w:tcBorders>
          </w:tcPr>
          <w:p>
            <w:pPr>
              <w:spacing w:after="0"/>
              <w:rPr>
                <w:sz w:val="10"/>
                <w:szCs w:val="10"/>
                <w:color w:val="auto"/>
              </w:rPr>
            </w:pPr>
          </w:p>
        </w:tc>
        <w:tc>
          <w:tcPr>
            <w:tcW w:w="3000" w:type="dxa"/>
            <w:vAlign w:val="bottom"/>
            <w:tcBorders>
              <w:right w:val="single" w:sz="8" w:color="00000A"/>
            </w:tcBorders>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Borders>
              <w:right w:val="single" w:sz="8" w:color="00000A"/>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Borders>
              <w:right w:val="single" w:sz="8" w:color="00000A"/>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00000A"/>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Borders>
              <w:right w:val="single" w:sz="8" w:color="00000A"/>
            </w:tcBorders>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0" w:type="dxa"/>
            <w:vAlign w:val="bottom"/>
            <w:tcBorders>
              <w:left w:val="single" w:sz="8" w:color="00000A"/>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280" w:type="dxa"/>
            <w:vAlign w:val="bottom"/>
            <w:tcBorders>
              <w:bottom w:val="single" w:sz="8" w:color="00000A"/>
            </w:tcBorders>
          </w:tcPr>
          <w:p>
            <w:pPr>
              <w:spacing w:after="0"/>
              <w:rPr>
                <w:sz w:val="2"/>
                <w:szCs w:val="2"/>
                <w:color w:val="auto"/>
              </w:rPr>
            </w:pPr>
          </w:p>
        </w:tc>
        <w:tc>
          <w:tcPr>
            <w:tcW w:w="8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720" w:type="dxa"/>
            <w:vAlign w:val="bottom"/>
            <w:tcBorders>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18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8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80" w:type="dxa"/>
            <w:vAlign w:val="bottom"/>
            <w:tcBorders>
              <w:bottom w:val="single" w:sz="8" w:color="00000A"/>
              <w:right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360" w:type="dxa"/>
            <w:vAlign w:val="bottom"/>
            <w:tcBorders>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3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00000A"/>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00000A"/>
            </w:tcBorders>
            <w:gridSpan w:val="2"/>
            <w:shd w:val="clear" w:color="auto" w:fill="CCEEFF"/>
          </w:tcPr>
          <w:p>
            <w:pPr>
              <w:jc w:val="center"/>
              <w:ind w:right="260"/>
              <w:spacing w:after="0"/>
              <w:rPr>
                <w:sz w:val="20"/>
                <w:szCs w:val="20"/>
                <w:color w:val="auto"/>
              </w:rPr>
            </w:pPr>
            <w:r>
              <w:rPr>
                <w:rFonts w:ascii="Arial" w:cs="Arial" w:eastAsia="Arial" w:hAnsi="Arial"/>
                <w:sz w:val="20"/>
                <w:szCs w:val="20"/>
                <w:color w:val="auto"/>
              </w:rPr>
              <w:t>V</w:t>
            </w:r>
          </w:p>
        </w:tc>
        <w:tc>
          <w:tcPr>
            <w:tcW w:w="3000" w:type="dxa"/>
            <w:vAlign w:val="bottom"/>
            <w:tcBorders>
              <w:bottom w:val="single" w:sz="8" w:color="CCEEFF"/>
              <w:right w:val="single" w:sz="8" w:color="00000A"/>
            </w:tcBorders>
            <w:gridSpan w:val="3"/>
            <w:shd w:val="clear" w:color="auto" w:fill="CCEEFF"/>
          </w:tcPr>
          <w:p>
            <w:pPr>
              <w:jc w:val="center"/>
              <w:ind w:right="40"/>
              <w:spacing w:after="0"/>
              <w:rPr>
                <w:sz w:val="20"/>
                <w:szCs w:val="20"/>
                <w:color w:val="auto"/>
              </w:rPr>
            </w:pPr>
            <w:r>
              <w:rPr>
                <w:rFonts w:ascii="Arial" w:cs="Arial" w:eastAsia="Arial" w:hAnsi="Arial"/>
                <w:sz w:val="20"/>
                <w:szCs w:val="20"/>
                <w:color w:val="auto"/>
                <w:w w:val="89"/>
              </w:rPr>
              <w:t>Greater than or equal to 2.50 to 1.00</w:t>
            </w:r>
          </w:p>
        </w:tc>
        <w:tc>
          <w:tcPr>
            <w:tcW w:w="1700" w:type="dxa"/>
            <w:vAlign w:val="bottom"/>
            <w:tcBorders>
              <w:bottom w:val="single" w:sz="8" w:color="CCEEFF"/>
              <w:right w:val="single" w:sz="8" w:color="00000A"/>
            </w:tcBorders>
            <w:gridSpan w:val="3"/>
            <w:shd w:val="clear" w:color="auto" w:fill="CCEEFF"/>
          </w:tcPr>
          <w:p>
            <w:pPr>
              <w:jc w:val="right"/>
              <w:ind w:right="640"/>
              <w:spacing w:after="0"/>
              <w:rPr>
                <w:sz w:val="20"/>
                <w:szCs w:val="20"/>
                <w:color w:val="auto"/>
              </w:rPr>
            </w:pPr>
            <w:r>
              <w:rPr>
                <w:rFonts w:ascii="Arial" w:cs="Arial" w:eastAsia="Arial" w:hAnsi="Arial"/>
                <w:sz w:val="20"/>
                <w:szCs w:val="20"/>
                <w:color w:val="auto"/>
              </w:rPr>
              <w:t>0.300%</w:t>
            </w:r>
          </w:p>
        </w:tc>
        <w:tc>
          <w:tcPr>
            <w:tcW w:w="12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2.25%</w:t>
            </w:r>
          </w:p>
        </w:tc>
        <w:tc>
          <w:tcPr>
            <w:tcW w:w="180" w:type="dxa"/>
            <w:vAlign w:val="bottom"/>
            <w:tcBorders>
              <w:bottom w:val="single" w:sz="8" w:color="CCEEFF"/>
              <w:right w:val="single" w:sz="8" w:color="00000A"/>
            </w:tcBorders>
            <w:shd w:val="clear" w:color="auto" w:fill="CCEEFF"/>
          </w:tcPr>
          <w:p>
            <w:pPr>
              <w:spacing w:after="0"/>
              <w:rPr>
                <w:sz w:val="22"/>
                <w:szCs w:val="22"/>
                <w:color w:val="auto"/>
              </w:rPr>
            </w:pPr>
          </w:p>
        </w:tc>
        <w:tc>
          <w:tcPr>
            <w:tcW w:w="14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20"/>
                <w:szCs w:val="20"/>
                <w:color w:val="auto"/>
                <w:w w:val="91"/>
              </w:rPr>
              <w:t>1.125%</w:t>
            </w:r>
          </w:p>
        </w:tc>
        <w:tc>
          <w:tcPr>
            <w:tcW w:w="180" w:type="dxa"/>
            <w:vAlign w:val="bottom"/>
            <w:tcBorders>
              <w:bottom w:val="single" w:sz="8" w:color="CCEEFF"/>
              <w:right w:val="single" w:sz="8" w:color="00000A"/>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20"/>
                <w:szCs w:val="20"/>
                <w:color w:val="auto"/>
              </w:rPr>
              <w:t>1.25%</w:t>
            </w:r>
          </w:p>
        </w:tc>
        <w:tc>
          <w:tcPr>
            <w:tcW w:w="360" w:type="dxa"/>
            <w:vAlign w:val="bottom"/>
            <w:tcBorders>
              <w:bottom w:val="single" w:sz="8" w:color="CCEEFF"/>
              <w:right w:val="single" w:sz="8" w:color="00000A"/>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2.25%</w:t>
            </w:r>
          </w:p>
        </w:tc>
        <w:tc>
          <w:tcPr>
            <w:tcW w:w="380" w:type="dxa"/>
            <w:vAlign w:val="bottom"/>
            <w:tcBorders>
              <w:bottom w:val="single" w:sz="8" w:color="CCEEFF"/>
              <w:right w:val="single" w:sz="8" w:color="00000A"/>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left w:val="single" w:sz="8" w:color="00000A"/>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00000A"/>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tcBorders>
              <w:right w:val="single" w:sz="8" w:color="00000A"/>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00000A"/>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00000A"/>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00000A"/>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00000A"/>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Borders>
              <w:right w:val="single" w:sz="8" w:color="00000A"/>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determining the Applicable Margin, the Applicable Commitment Fee Rate and the Applicable Letter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Credit Fee Rate:</w:t>
      </w:r>
    </w:p>
    <w:p>
      <w:pPr>
        <w:spacing w:after="0" w:line="202" w:lineRule="exact"/>
        <w:rPr>
          <w:sz w:val="20"/>
          <w:szCs w:val="20"/>
          <w:color w:val="auto"/>
        </w:rPr>
      </w:pPr>
    </w:p>
    <w:p>
      <w:pPr>
        <w:jc w:val="both"/>
        <w:ind w:right="20" w:firstLine="656"/>
        <w:spacing w:after="0" w:line="253" w:lineRule="auto"/>
        <w:tabs>
          <w:tab w:leader="none" w:pos="94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Applicable Margin, the Applicable Commitment Fee Rate and the Applicable Letter of Credit Fee Rate shall be set on the Closing Date to the fees and spreads associated with "Level III" pricing and shall remain at such level until the due date of the Compliance Certificate for the fiscal quarter ending March 31, 2019.</w:t>
      </w:r>
    </w:p>
    <w:p>
      <w:pPr>
        <w:spacing w:after="0" w:line="185" w:lineRule="exact"/>
        <w:rPr>
          <w:rFonts w:ascii="Arial" w:cs="Arial" w:eastAsia="Arial" w:hAnsi="Arial"/>
          <w:sz w:val="22"/>
          <w:szCs w:val="22"/>
          <w:color w:val="auto"/>
        </w:rPr>
      </w:pPr>
    </w:p>
    <w:p>
      <w:pPr>
        <w:jc w:val="both"/>
        <w:ind w:firstLine="656"/>
        <w:spacing w:after="0" w:line="259" w:lineRule="auto"/>
        <w:tabs>
          <w:tab w:leader="none" w:pos="96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Applicable Margin, the Applicable Commitment Fee Rate and the Applicable Letter of Credit Fee Rate shall be recomputed as of the end of each fiscal quarter ending after the Closing Date based on the Leverage Ratio as of such quarter end. Any increase or decrease in the Applicable Margin, the Applicable Commitment Fee Rate or the Applicable Letter of Credit Fee Rate computed as of a quarter end shall be effective on the date on which the Compliance Certificate evidencing such computation is due to be delivered under Section 8.3.3 [Certificate of the Company]. If a Compliance Certificate is not delivered when due in accordance with such Section 8.3.3, then the rates in Level V shall apply as of the first Business Day after the date on which such Compliance Certificate was required to have been delivered and shall remain in effect until the date on which such Compliance Certificate is delivered.</w:t>
      </w:r>
    </w:p>
    <w:p>
      <w:pPr>
        <w:spacing w:after="0" w:line="184" w:lineRule="exact"/>
        <w:rPr>
          <w:rFonts w:ascii="Arial" w:cs="Arial" w:eastAsia="Arial" w:hAnsi="Arial"/>
          <w:sz w:val="21"/>
          <w:szCs w:val="21"/>
          <w:color w:val="auto"/>
        </w:rPr>
      </w:pPr>
    </w:p>
    <w:p>
      <w:pPr>
        <w:jc w:val="both"/>
        <w:ind w:firstLine="656"/>
        <w:spacing w:after="0" w:line="265" w:lineRule="auto"/>
        <w:tabs>
          <w:tab w:leader="none" w:pos="95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If, as a result of any restatement of or other adjustment to the financial statements of the Company or for any other reason, the Borrowers or the Lenders determine that (i) the Leverage Ratio as calculated by the Borrowers as of any applicable date was inaccurate and (ii) a proper calculation of the Leverage Ratio would have resulted in higher pricing for such period, the Borrowers shall immediately and retroactively be obligated to pay to the Administrative</w:t>
      </w:r>
    </w:p>
    <w:p>
      <w:pPr>
        <w:sectPr>
          <w:pgSz w:w="11900" w:h="16838" w:orient="portrait"/>
          <w:cols w:equalWidth="0" w:num="1">
            <w:col w:w="11420"/>
          </w:cols>
          <w:pgMar w:left="240" w:top="1422" w:right="239" w:bottom="1440" w:gutter="0" w:footer="0" w:header="0"/>
        </w:sectPr>
      </w:pPr>
    </w:p>
    <w:bookmarkStart w:id="147" w:name="page148"/>
    <w:bookmarkEnd w:id="147"/>
    <w:p>
      <w:pPr>
        <w:jc w:val="both"/>
        <w:spacing w:after="0" w:line="259" w:lineRule="auto"/>
        <w:rPr>
          <w:sz w:val="20"/>
          <w:szCs w:val="20"/>
          <w:color w:val="auto"/>
        </w:rPr>
      </w:pPr>
      <w:r>
        <w:rPr>
          <w:rFonts w:ascii="Arial" w:cs="Arial" w:eastAsia="Arial" w:hAnsi="Arial"/>
          <w:sz w:val="21"/>
          <w:szCs w:val="21"/>
          <w:color w:val="auto"/>
        </w:rPr>
        <w:t>Agent for the account of the applicable Lenders, promptly on demand by the Administrative Agent (or, after the occurrence of an actual or deemed entry of an order for relief with respect to the Borrowers under the Bankruptcy Code of the United States or any other Insolvency Proceeding,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paragraph shall not limit the rights of the Administrative Agent, any Lender or the Issuing Lender, as the case may be, under Section 2.8 [Letter of Credit Subfacility], Section 4.3 [Interest After Default] or Article 9 [Default]. The Borrowers' obligations under this paragraph shall survive the termination of the Commitments and the 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1.1(A) – Page 2</w:t>
      </w:r>
    </w:p>
    <w:p>
      <w:pPr>
        <w:sectPr>
          <w:pgSz w:w="11900" w:h="16838" w:orient="portrait"/>
          <w:cols w:equalWidth="0" w:num="1">
            <w:col w:w="11420"/>
          </w:cols>
          <w:pgMar w:left="240" w:top="1428" w:right="2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SCHEDULE 1.1B</w:t>
      </w:r>
    </w:p>
    <w:p>
      <w:pPr>
        <w:spacing w:after="0" w:line="28" w:lineRule="exact"/>
        <w:rPr>
          <w:sz w:val="20"/>
          <w:szCs w:val="20"/>
          <w:color w:val="auto"/>
        </w:rPr>
      </w:pPr>
    </w:p>
    <w:p>
      <w:pPr>
        <w:jc w:val="center"/>
        <w:ind w:right="-499"/>
        <w:spacing w:after="0"/>
        <w:rPr>
          <w:sz w:val="20"/>
          <w:szCs w:val="20"/>
          <w:color w:val="auto"/>
        </w:rPr>
      </w:pPr>
      <w:r>
        <w:rPr>
          <w:rFonts w:ascii="Arial" w:cs="Arial" w:eastAsia="Arial" w:hAnsi="Arial"/>
          <w:sz w:val="21"/>
          <w:szCs w:val="21"/>
          <w:b w:val="1"/>
          <w:bCs w:val="1"/>
          <w:color w:val="auto"/>
        </w:rPr>
        <w:t>COMMITMENTS OF LENDERS AND ADDRESSES FOR NOTICES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1 - Commitments of Lenders and Addresses for Notices to Lenders</w:t>
      </w:r>
    </w:p>
    <w:p>
      <w:pPr>
        <w:sectPr>
          <w:pgSz w:w="11900" w:h="16838" w:orient="portrait"/>
          <w:cols w:equalWidth="0" w:num="1">
            <w:col w:w="10920"/>
          </w:cols>
          <w:pgMar w:left="24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1"/>
              </w:rPr>
              <w:t>Amount of</w:t>
            </w: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2"/>
              </w:rPr>
              <w:t>Commitment for</w:t>
            </w:r>
          </w:p>
        </w:tc>
        <w:tc>
          <w:tcPr>
            <w:tcW w:w="160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Amount of</w:t>
            </w: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3"/>
              </w:rPr>
              <w:t>Revolving Credit</w:t>
            </w:r>
          </w:p>
        </w:tc>
        <w:tc>
          <w:tcPr>
            <w:tcW w:w="160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Commitment for</w:t>
            </w: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1440"/>
              <w:spacing w:after="0"/>
              <w:rPr>
                <w:sz w:val="20"/>
                <w:szCs w:val="20"/>
                <w:color w:val="auto"/>
              </w:rPr>
            </w:pPr>
            <w:r>
              <w:rPr>
                <w:rFonts w:ascii="Arial" w:cs="Arial" w:eastAsia="Arial" w:hAnsi="Arial"/>
                <w:sz w:val="17"/>
                <w:szCs w:val="17"/>
                <w:b w:val="1"/>
                <w:bCs w:val="1"/>
                <w:color w:val="auto"/>
              </w:rPr>
              <w:t>Lender</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1"/>
              </w:rPr>
              <w:t>Loans</w:t>
            </w:r>
          </w:p>
        </w:tc>
        <w:tc>
          <w:tcPr>
            <w:tcW w:w="160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Term Loans</w:t>
            </w:r>
          </w:p>
        </w:tc>
        <w:tc>
          <w:tcPr>
            <w:tcW w:w="1660" w:type="dxa"/>
            <w:vAlign w:val="bottom"/>
          </w:tcPr>
          <w:p>
            <w:pPr>
              <w:jc w:val="right"/>
              <w:ind w:right="415"/>
              <w:spacing w:after="0"/>
              <w:rPr>
                <w:sz w:val="20"/>
                <w:szCs w:val="20"/>
                <w:color w:val="auto"/>
              </w:rPr>
            </w:pPr>
            <w:r>
              <w:rPr>
                <w:rFonts w:ascii="Arial" w:cs="Arial" w:eastAsia="Arial" w:hAnsi="Arial"/>
                <w:sz w:val="17"/>
                <w:szCs w:val="17"/>
                <w:b w:val="1"/>
                <w:bCs w:val="1"/>
                <w:color w:val="auto"/>
              </w:rPr>
              <w:t>Commitment</w:t>
            </w:r>
          </w:p>
        </w:tc>
        <w:tc>
          <w:tcPr>
            <w:tcW w:w="1600" w:type="dxa"/>
            <w:vAlign w:val="bottom"/>
          </w:tcPr>
          <w:p>
            <w:pPr>
              <w:jc w:val="right"/>
              <w:ind w:right="255"/>
              <w:spacing w:after="0"/>
              <w:rPr>
                <w:sz w:val="20"/>
                <w:szCs w:val="20"/>
                <w:color w:val="auto"/>
              </w:rPr>
            </w:pPr>
            <w:r>
              <w:rPr>
                <w:rFonts w:ascii="Arial" w:cs="Arial" w:eastAsia="Arial" w:hAnsi="Arial"/>
                <w:sz w:val="17"/>
                <w:szCs w:val="17"/>
                <w:b w:val="1"/>
                <w:bCs w:val="1"/>
                <w:color w:val="auto"/>
              </w:rPr>
              <w:t>Ratable Share</w:t>
            </w:r>
          </w:p>
        </w:tc>
        <w:tc>
          <w:tcPr>
            <w:tcW w:w="0" w:type="dxa"/>
            <w:vAlign w:val="bottom"/>
          </w:tcPr>
          <w:p>
            <w:pPr>
              <w:spacing w:after="0"/>
              <w:rPr>
                <w:sz w:val="1"/>
                <w:szCs w:val="1"/>
                <w:color w:val="auto"/>
              </w:rPr>
            </w:pPr>
          </w:p>
        </w:tc>
      </w:tr>
      <w:tr>
        <w:trPr>
          <w:trHeight w:val="166"/>
        </w:trPr>
        <w:tc>
          <w:tcPr>
            <w:tcW w:w="3100" w:type="dxa"/>
            <w:vAlign w:val="bottom"/>
          </w:tcPr>
          <w:p>
            <w:pPr>
              <w:spacing w:after="0" w:line="167" w:lineRule="exact"/>
              <w:rPr>
                <w:sz w:val="20"/>
                <w:szCs w:val="20"/>
                <w:color w:val="auto"/>
              </w:rPr>
            </w:pPr>
            <w:r>
              <w:rPr>
                <w:rFonts w:ascii="Arial" w:cs="Arial" w:eastAsia="Arial" w:hAnsi="Arial"/>
                <w:sz w:val="17"/>
                <w:szCs w:val="17"/>
                <w:color w:val="auto"/>
              </w:rPr>
              <w:t>Name: PNC Bank,</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National Association</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Address: Tower at PNC Plaza</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300 Fifth Avenue</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Pittsburgh, Pennsylvania 15222</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Attention: Allison Fromm</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Telephone: (412) 645-9959</w:t>
            </w:r>
          </w:p>
        </w:tc>
        <w:tc>
          <w:tcPr>
            <w:tcW w:w="1700" w:type="dxa"/>
            <w:vAlign w:val="bottom"/>
            <w:vMerge w:val="restart"/>
          </w:tcPr>
          <w:p>
            <w:pPr>
              <w:jc w:val="right"/>
              <w:ind w:right="15"/>
              <w:spacing w:after="0"/>
              <w:rPr>
                <w:sz w:val="20"/>
                <w:szCs w:val="20"/>
                <w:color w:val="auto"/>
              </w:rPr>
            </w:pPr>
            <w:r>
              <w:rPr>
                <w:rFonts w:ascii="Arial" w:cs="Arial" w:eastAsia="Arial" w:hAnsi="Arial"/>
                <w:sz w:val="17"/>
                <w:szCs w:val="17"/>
                <w:color w:val="auto"/>
              </w:rPr>
              <w:t>$33,939,393.93</w:t>
            </w:r>
          </w:p>
        </w:tc>
        <w:tc>
          <w:tcPr>
            <w:tcW w:w="1600" w:type="dxa"/>
            <w:vAlign w:val="bottom"/>
            <w:vMerge w:val="restart"/>
          </w:tcPr>
          <w:p>
            <w:pPr>
              <w:jc w:val="right"/>
              <w:ind w:right="115"/>
              <w:spacing w:after="0"/>
              <w:rPr>
                <w:sz w:val="20"/>
                <w:szCs w:val="20"/>
                <w:color w:val="auto"/>
              </w:rPr>
            </w:pPr>
            <w:r>
              <w:rPr>
                <w:rFonts w:ascii="Arial" w:cs="Arial" w:eastAsia="Arial" w:hAnsi="Arial"/>
                <w:sz w:val="17"/>
                <w:szCs w:val="17"/>
                <w:color w:val="auto"/>
              </w:rPr>
              <w:t>$6,060,606.07</w:t>
            </w:r>
          </w:p>
        </w:tc>
        <w:tc>
          <w:tcPr>
            <w:tcW w:w="1660" w:type="dxa"/>
            <w:vAlign w:val="bottom"/>
            <w:vMerge w:val="restart"/>
          </w:tcPr>
          <w:p>
            <w:pPr>
              <w:jc w:val="right"/>
              <w:ind w:right="135"/>
              <w:spacing w:after="0"/>
              <w:rPr>
                <w:sz w:val="20"/>
                <w:szCs w:val="20"/>
                <w:color w:val="auto"/>
              </w:rPr>
            </w:pPr>
            <w:r>
              <w:rPr>
                <w:rFonts w:ascii="Arial" w:cs="Arial" w:eastAsia="Arial" w:hAnsi="Arial"/>
                <w:sz w:val="17"/>
                <w:szCs w:val="17"/>
                <w:color w:val="auto"/>
              </w:rPr>
              <w:t>$40,000,000.00</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24.242424240 %</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7"/>
                <w:szCs w:val="17"/>
                <w:color w:val="auto"/>
              </w:rPr>
              <w:t>Telecopy: (412) 762-4718</w:t>
            </w:r>
          </w:p>
        </w:tc>
        <w:tc>
          <w:tcPr>
            <w:tcW w:w="17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line="167" w:lineRule="exact"/>
              <w:rPr>
                <w:sz w:val="20"/>
                <w:szCs w:val="20"/>
                <w:color w:val="auto"/>
              </w:rPr>
            </w:pPr>
            <w:r>
              <w:rPr>
                <w:rFonts w:ascii="Arial" w:cs="Arial" w:eastAsia="Arial" w:hAnsi="Arial"/>
                <w:sz w:val="17"/>
                <w:szCs w:val="17"/>
                <w:color w:val="auto"/>
              </w:rPr>
              <w:t>Name: Bank of America, N.A.</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Address: 600 Grant Street,</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53rd Floor</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Pittsburgh, PA 15219</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Attention: Susan Rich</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Telephone: (412) 338-8746</w:t>
            </w:r>
          </w:p>
        </w:tc>
        <w:tc>
          <w:tcPr>
            <w:tcW w:w="1700" w:type="dxa"/>
            <w:vAlign w:val="bottom"/>
            <w:vMerge w:val="restart"/>
          </w:tcPr>
          <w:p>
            <w:pPr>
              <w:jc w:val="right"/>
              <w:ind w:right="15"/>
              <w:spacing w:after="0"/>
              <w:rPr>
                <w:sz w:val="20"/>
                <w:szCs w:val="20"/>
                <w:color w:val="auto"/>
              </w:rPr>
            </w:pPr>
            <w:r>
              <w:rPr>
                <w:rFonts w:ascii="Arial" w:cs="Arial" w:eastAsia="Arial" w:hAnsi="Arial"/>
                <w:sz w:val="17"/>
                <w:szCs w:val="17"/>
                <w:color w:val="auto"/>
              </w:rPr>
              <w:t>$29,696,969.70</w:t>
            </w:r>
          </w:p>
        </w:tc>
        <w:tc>
          <w:tcPr>
            <w:tcW w:w="1600" w:type="dxa"/>
            <w:vAlign w:val="bottom"/>
            <w:vMerge w:val="restart"/>
          </w:tcPr>
          <w:p>
            <w:pPr>
              <w:jc w:val="right"/>
              <w:ind w:right="115"/>
              <w:spacing w:after="0"/>
              <w:rPr>
                <w:sz w:val="20"/>
                <w:szCs w:val="20"/>
                <w:color w:val="auto"/>
              </w:rPr>
            </w:pPr>
            <w:r>
              <w:rPr>
                <w:rFonts w:ascii="Arial" w:cs="Arial" w:eastAsia="Arial" w:hAnsi="Arial"/>
                <w:sz w:val="17"/>
                <w:szCs w:val="17"/>
                <w:color w:val="auto"/>
              </w:rPr>
              <w:t>$5,303,030.30</w:t>
            </w:r>
          </w:p>
        </w:tc>
        <w:tc>
          <w:tcPr>
            <w:tcW w:w="1660" w:type="dxa"/>
            <w:vAlign w:val="bottom"/>
            <w:vMerge w:val="restart"/>
          </w:tcPr>
          <w:p>
            <w:pPr>
              <w:jc w:val="right"/>
              <w:ind w:right="135"/>
              <w:spacing w:after="0"/>
              <w:rPr>
                <w:sz w:val="20"/>
                <w:szCs w:val="20"/>
                <w:color w:val="auto"/>
              </w:rPr>
            </w:pPr>
            <w:r>
              <w:rPr>
                <w:rFonts w:ascii="Arial" w:cs="Arial" w:eastAsia="Arial" w:hAnsi="Arial"/>
                <w:sz w:val="17"/>
                <w:szCs w:val="17"/>
                <w:color w:val="auto"/>
              </w:rPr>
              <w:t>$35,000,000.00</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21.212121210 %</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7"/>
                <w:szCs w:val="17"/>
                <w:color w:val="auto"/>
              </w:rPr>
              <w:t>Telecopy: (212) 909-8582</w:t>
            </w:r>
          </w:p>
        </w:tc>
        <w:tc>
          <w:tcPr>
            <w:tcW w:w="17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line="167" w:lineRule="exact"/>
              <w:rPr>
                <w:sz w:val="20"/>
                <w:szCs w:val="20"/>
                <w:color w:val="auto"/>
              </w:rPr>
            </w:pPr>
            <w:r>
              <w:rPr>
                <w:rFonts w:ascii="Arial" w:cs="Arial" w:eastAsia="Arial" w:hAnsi="Arial"/>
                <w:sz w:val="17"/>
                <w:szCs w:val="17"/>
                <w:color w:val="auto"/>
              </w:rPr>
              <w:t>Name: Wells Fargo Bank, N.A.</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Address: 444 Liberty Avenue,</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Suite 1400</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Pittsburgh, Pennsylvania 15222</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Attention: J. Barrett Donovan</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Telephone: (412) 454-4603</w:t>
            </w:r>
          </w:p>
        </w:tc>
        <w:tc>
          <w:tcPr>
            <w:tcW w:w="1700" w:type="dxa"/>
            <w:vAlign w:val="bottom"/>
            <w:vMerge w:val="restart"/>
          </w:tcPr>
          <w:p>
            <w:pPr>
              <w:jc w:val="right"/>
              <w:ind w:right="15"/>
              <w:spacing w:after="0"/>
              <w:rPr>
                <w:sz w:val="20"/>
                <w:szCs w:val="20"/>
                <w:color w:val="auto"/>
              </w:rPr>
            </w:pPr>
            <w:r>
              <w:rPr>
                <w:rFonts w:ascii="Arial" w:cs="Arial" w:eastAsia="Arial" w:hAnsi="Arial"/>
                <w:sz w:val="17"/>
                <w:szCs w:val="17"/>
                <w:color w:val="auto"/>
              </w:rPr>
              <w:t>$29,696,969.70</w:t>
            </w:r>
          </w:p>
        </w:tc>
        <w:tc>
          <w:tcPr>
            <w:tcW w:w="1600" w:type="dxa"/>
            <w:vAlign w:val="bottom"/>
            <w:vMerge w:val="restart"/>
          </w:tcPr>
          <w:p>
            <w:pPr>
              <w:jc w:val="right"/>
              <w:ind w:right="115"/>
              <w:spacing w:after="0"/>
              <w:rPr>
                <w:sz w:val="20"/>
                <w:szCs w:val="20"/>
                <w:color w:val="auto"/>
              </w:rPr>
            </w:pPr>
            <w:r>
              <w:rPr>
                <w:rFonts w:ascii="Arial" w:cs="Arial" w:eastAsia="Arial" w:hAnsi="Arial"/>
                <w:sz w:val="17"/>
                <w:szCs w:val="17"/>
                <w:color w:val="auto"/>
              </w:rPr>
              <w:t>$5,303,030.30</w:t>
            </w:r>
          </w:p>
        </w:tc>
        <w:tc>
          <w:tcPr>
            <w:tcW w:w="1660" w:type="dxa"/>
            <w:vAlign w:val="bottom"/>
            <w:vMerge w:val="restart"/>
          </w:tcPr>
          <w:p>
            <w:pPr>
              <w:jc w:val="right"/>
              <w:ind w:right="135"/>
              <w:spacing w:after="0"/>
              <w:rPr>
                <w:sz w:val="20"/>
                <w:szCs w:val="20"/>
                <w:color w:val="auto"/>
              </w:rPr>
            </w:pPr>
            <w:r>
              <w:rPr>
                <w:rFonts w:ascii="Arial" w:cs="Arial" w:eastAsia="Arial" w:hAnsi="Arial"/>
                <w:sz w:val="17"/>
                <w:szCs w:val="17"/>
                <w:color w:val="auto"/>
              </w:rPr>
              <w:t>$35,000,000.00</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21.212121210 %</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7"/>
                <w:szCs w:val="17"/>
                <w:color w:val="auto"/>
              </w:rPr>
              <w:t>Telecopy: (412) 454-4609</w:t>
            </w:r>
          </w:p>
        </w:tc>
        <w:tc>
          <w:tcPr>
            <w:tcW w:w="17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line="167" w:lineRule="exact"/>
              <w:rPr>
                <w:sz w:val="20"/>
                <w:szCs w:val="20"/>
                <w:color w:val="auto"/>
              </w:rPr>
            </w:pPr>
            <w:r>
              <w:rPr>
                <w:rFonts w:ascii="Arial" w:cs="Arial" w:eastAsia="Arial" w:hAnsi="Arial"/>
                <w:sz w:val="17"/>
                <w:szCs w:val="17"/>
                <w:color w:val="auto"/>
              </w:rPr>
              <w:t>Name: Citizens Bank, NA</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Address: 525 William Penn Place,</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PW 2625</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Pittsburgh, Pennsylvania 15219</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Attention: Victor Notaro</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Telephone: (412) 867-3981</w:t>
            </w:r>
          </w:p>
        </w:tc>
        <w:tc>
          <w:tcPr>
            <w:tcW w:w="1700" w:type="dxa"/>
            <w:vAlign w:val="bottom"/>
            <w:vMerge w:val="restart"/>
          </w:tcPr>
          <w:p>
            <w:pPr>
              <w:jc w:val="right"/>
              <w:ind w:right="15"/>
              <w:spacing w:after="0"/>
              <w:rPr>
                <w:sz w:val="20"/>
                <w:szCs w:val="20"/>
                <w:color w:val="auto"/>
              </w:rPr>
            </w:pPr>
            <w:r>
              <w:rPr>
                <w:rFonts w:ascii="Arial" w:cs="Arial" w:eastAsia="Arial" w:hAnsi="Arial"/>
                <w:sz w:val="17"/>
                <w:szCs w:val="17"/>
                <w:color w:val="auto"/>
              </w:rPr>
              <w:t>$29,696,969.70</w:t>
            </w:r>
          </w:p>
        </w:tc>
        <w:tc>
          <w:tcPr>
            <w:tcW w:w="1600" w:type="dxa"/>
            <w:vAlign w:val="bottom"/>
            <w:vMerge w:val="restart"/>
          </w:tcPr>
          <w:p>
            <w:pPr>
              <w:jc w:val="right"/>
              <w:ind w:right="115"/>
              <w:spacing w:after="0"/>
              <w:rPr>
                <w:sz w:val="20"/>
                <w:szCs w:val="20"/>
                <w:color w:val="auto"/>
              </w:rPr>
            </w:pPr>
            <w:r>
              <w:rPr>
                <w:rFonts w:ascii="Arial" w:cs="Arial" w:eastAsia="Arial" w:hAnsi="Arial"/>
                <w:sz w:val="17"/>
                <w:szCs w:val="17"/>
                <w:color w:val="auto"/>
              </w:rPr>
              <w:t>$5,303,030.30</w:t>
            </w:r>
          </w:p>
        </w:tc>
        <w:tc>
          <w:tcPr>
            <w:tcW w:w="1660" w:type="dxa"/>
            <w:vAlign w:val="bottom"/>
            <w:vMerge w:val="restart"/>
          </w:tcPr>
          <w:p>
            <w:pPr>
              <w:jc w:val="right"/>
              <w:ind w:right="135"/>
              <w:spacing w:after="0"/>
              <w:rPr>
                <w:sz w:val="20"/>
                <w:szCs w:val="20"/>
                <w:color w:val="auto"/>
              </w:rPr>
            </w:pPr>
            <w:r>
              <w:rPr>
                <w:rFonts w:ascii="Arial" w:cs="Arial" w:eastAsia="Arial" w:hAnsi="Arial"/>
                <w:sz w:val="17"/>
                <w:szCs w:val="17"/>
                <w:color w:val="auto"/>
              </w:rPr>
              <w:t>$35,000,000.00</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7"/>
                <w:szCs w:val="17"/>
                <w:color w:val="auto"/>
              </w:rPr>
              <w:t>Telecopy: (412) 867-2223</w:t>
            </w:r>
          </w:p>
        </w:tc>
        <w:tc>
          <w:tcPr>
            <w:tcW w:w="17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21.212121212%</w:t>
            </w:r>
          </w:p>
        </w:tc>
        <w:tc>
          <w:tcPr>
            <w:tcW w:w="0" w:type="dxa"/>
            <w:vAlign w:val="bottom"/>
          </w:tcPr>
          <w:p>
            <w:pPr>
              <w:spacing w:after="0"/>
              <w:rPr>
                <w:sz w:val="1"/>
                <w:szCs w:val="1"/>
                <w:color w:val="auto"/>
              </w:rPr>
            </w:pPr>
          </w:p>
        </w:tc>
      </w:tr>
      <w:tr>
        <w:trPr>
          <w:trHeight w:val="166"/>
        </w:trPr>
        <w:tc>
          <w:tcPr>
            <w:tcW w:w="3100" w:type="dxa"/>
            <w:vAlign w:val="bottom"/>
          </w:tcPr>
          <w:p>
            <w:pPr>
              <w:spacing w:after="0" w:line="167" w:lineRule="exact"/>
              <w:rPr>
                <w:sz w:val="20"/>
                <w:szCs w:val="20"/>
                <w:color w:val="auto"/>
              </w:rPr>
            </w:pPr>
            <w:r>
              <w:rPr>
                <w:rFonts w:ascii="Arial" w:cs="Arial" w:eastAsia="Arial" w:hAnsi="Arial"/>
                <w:sz w:val="17"/>
                <w:szCs w:val="17"/>
                <w:color w:val="auto"/>
              </w:rPr>
              <w:t>Name: BMO Harris Bank,</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National Association</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w w:val="98"/>
              </w:rPr>
              <w:t>Address: 191 West Nationwide Boulevard</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Suite 650</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Columbus, Ohio 43215</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Attention: Kimberly Dennis</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7"/>
                <w:szCs w:val="17"/>
                <w:color w:val="auto"/>
              </w:rPr>
              <w:t>Telephone: (614) 857-2187</w:t>
            </w:r>
          </w:p>
        </w:tc>
        <w:tc>
          <w:tcPr>
            <w:tcW w:w="1700" w:type="dxa"/>
            <w:vAlign w:val="bottom"/>
            <w:vMerge w:val="restart"/>
          </w:tcPr>
          <w:p>
            <w:pPr>
              <w:jc w:val="right"/>
              <w:ind w:right="15"/>
              <w:spacing w:after="0"/>
              <w:rPr>
                <w:sz w:val="20"/>
                <w:szCs w:val="20"/>
                <w:color w:val="auto"/>
              </w:rPr>
            </w:pPr>
            <w:r>
              <w:rPr>
                <w:rFonts w:ascii="Arial" w:cs="Arial" w:eastAsia="Arial" w:hAnsi="Arial"/>
                <w:sz w:val="17"/>
                <w:szCs w:val="17"/>
                <w:color w:val="auto"/>
              </w:rPr>
              <w:t>$16,969,696.97</w:t>
            </w:r>
          </w:p>
        </w:tc>
        <w:tc>
          <w:tcPr>
            <w:tcW w:w="1600" w:type="dxa"/>
            <w:vAlign w:val="bottom"/>
            <w:vMerge w:val="restart"/>
          </w:tcPr>
          <w:p>
            <w:pPr>
              <w:jc w:val="right"/>
              <w:ind w:right="115"/>
              <w:spacing w:after="0"/>
              <w:rPr>
                <w:sz w:val="20"/>
                <w:szCs w:val="20"/>
                <w:color w:val="auto"/>
              </w:rPr>
            </w:pPr>
            <w:r>
              <w:rPr>
                <w:rFonts w:ascii="Arial" w:cs="Arial" w:eastAsia="Arial" w:hAnsi="Arial"/>
                <w:sz w:val="17"/>
                <w:szCs w:val="17"/>
                <w:color w:val="auto"/>
              </w:rPr>
              <w:t>$3,030,303.03</w:t>
            </w:r>
          </w:p>
        </w:tc>
        <w:tc>
          <w:tcPr>
            <w:tcW w:w="1660" w:type="dxa"/>
            <w:vAlign w:val="bottom"/>
            <w:vMerge w:val="restart"/>
          </w:tcPr>
          <w:p>
            <w:pPr>
              <w:jc w:val="right"/>
              <w:ind w:right="135"/>
              <w:spacing w:after="0"/>
              <w:rPr>
                <w:sz w:val="20"/>
                <w:szCs w:val="20"/>
                <w:color w:val="auto"/>
              </w:rPr>
            </w:pPr>
            <w:r>
              <w:rPr>
                <w:rFonts w:ascii="Arial" w:cs="Arial" w:eastAsia="Arial" w:hAnsi="Arial"/>
                <w:sz w:val="17"/>
                <w:szCs w:val="17"/>
                <w:color w:val="auto"/>
              </w:rPr>
              <w:t>$20,000,000.00</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12.121212120 %</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7"/>
                <w:szCs w:val="17"/>
                <w:color w:val="auto"/>
              </w:rPr>
              <w:t>Telecopy: (262) 938-8684</w:t>
            </w:r>
          </w:p>
        </w:tc>
        <w:tc>
          <w:tcPr>
            <w:tcW w:w="17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1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700" w:type="dxa"/>
            <w:vAlign w:val="bottom"/>
          </w:tcPr>
          <w:p>
            <w:pPr>
              <w:jc w:val="right"/>
              <w:ind w:right="15"/>
              <w:spacing w:after="0"/>
              <w:rPr>
                <w:sz w:val="20"/>
                <w:szCs w:val="20"/>
                <w:color w:val="auto"/>
              </w:rPr>
            </w:pPr>
            <w:r>
              <w:rPr>
                <w:rFonts w:ascii="Arial" w:cs="Arial" w:eastAsia="Arial" w:hAnsi="Arial"/>
                <w:sz w:val="17"/>
                <w:szCs w:val="17"/>
                <w:b w:val="1"/>
                <w:bCs w:val="1"/>
                <w:color w:val="auto"/>
              </w:rPr>
              <w:t>$140,000,000.00</w:t>
            </w:r>
          </w:p>
        </w:tc>
        <w:tc>
          <w:tcPr>
            <w:tcW w:w="1600" w:type="dxa"/>
            <w:vAlign w:val="bottom"/>
          </w:tcPr>
          <w:p>
            <w:pPr>
              <w:jc w:val="right"/>
              <w:ind w:right="115"/>
              <w:spacing w:after="0"/>
              <w:rPr>
                <w:sz w:val="20"/>
                <w:szCs w:val="20"/>
                <w:color w:val="auto"/>
              </w:rPr>
            </w:pPr>
            <w:r>
              <w:rPr>
                <w:rFonts w:ascii="Arial" w:cs="Arial" w:eastAsia="Arial" w:hAnsi="Arial"/>
                <w:sz w:val="17"/>
                <w:szCs w:val="17"/>
                <w:b w:val="1"/>
                <w:bCs w:val="1"/>
                <w:color w:val="auto"/>
              </w:rPr>
              <w:t>$25,000,000.00</w:t>
            </w:r>
          </w:p>
        </w:tc>
        <w:tc>
          <w:tcPr>
            <w:tcW w:w="1660" w:type="dxa"/>
            <w:vAlign w:val="bottom"/>
          </w:tcPr>
          <w:p>
            <w:pPr>
              <w:jc w:val="right"/>
              <w:ind w:right="135"/>
              <w:spacing w:after="0"/>
              <w:rPr>
                <w:sz w:val="20"/>
                <w:szCs w:val="20"/>
                <w:color w:val="auto"/>
              </w:rPr>
            </w:pPr>
            <w:r>
              <w:rPr>
                <w:rFonts w:ascii="Arial" w:cs="Arial" w:eastAsia="Arial" w:hAnsi="Arial"/>
                <w:sz w:val="17"/>
                <w:szCs w:val="17"/>
                <w:b w:val="1"/>
                <w:bCs w:val="1"/>
                <w:color w:val="auto"/>
              </w:rPr>
              <w:t>$165,000,000.00</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100.000000000 %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-4138930</wp:posOffset>
            </wp:positionV>
            <wp:extent cx="6963410" cy="857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3410" cy="857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-2526665</wp:posOffset>
            </wp:positionV>
            <wp:extent cx="6963410"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3410" cy="7543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-1017270</wp:posOffset>
            </wp:positionV>
            <wp:extent cx="6963410" cy="857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3410"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Treaty Passport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reference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number 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jurisdiction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 residence (if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applicable)</w:t>
      </w:r>
    </w:p>
    <w:p>
      <w:pPr>
        <w:spacing w:after="0" w:line="6757" w:lineRule="exact"/>
        <w:rPr>
          <w:sz w:val="20"/>
          <w:szCs w:val="20"/>
          <w:color w:val="auto"/>
        </w:rPr>
      </w:pPr>
    </w:p>
    <w:p>
      <w:pPr>
        <w:sectPr>
          <w:pgSz w:w="11900" w:h="16838" w:orient="portrait"/>
          <w:cols w:equalWidth="0" w:num="2">
            <w:col w:w="9680" w:space="80"/>
            <w:col w:w="1160"/>
          </w:cols>
          <w:pgMar w:left="240" w:top="144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Exhibit (A) – Page 1</w:t>
      </w:r>
    </w:p>
    <w:p>
      <w:pPr>
        <w:sectPr>
          <w:pgSz w:w="11900" w:h="16838" w:orient="portrait"/>
          <w:cols w:equalWidth="0" w:num="1">
            <w:col w:w="10920"/>
          </w:cols>
          <w:pgMar w:left="240" w:top="1440" w:right="739" w:bottom="1440" w:gutter="0" w:footer="0" w:header="0"/>
          <w:type w:val="continuous"/>
        </w:sectPr>
      </w:pPr>
    </w:p>
    <w:bookmarkStart w:id="149" w:name="page150"/>
    <w:bookmarkEnd w:id="149"/>
    <w:p>
      <w:pPr>
        <w:jc w:val="center"/>
        <w:ind w:right="-1200"/>
        <w:spacing w:after="0"/>
        <w:rPr>
          <w:sz w:val="20"/>
          <w:szCs w:val="20"/>
          <w:color w:val="auto"/>
        </w:rPr>
      </w:pPr>
      <w:r>
        <w:rPr>
          <w:rFonts w:ascii="Arial" w:cs="Arial" w:eastAsia="Arial" w:hAnsi="Arial"/>
          <w:sz w:val="22"/>
          <w:szCs w:val="22"/>
          <w:b w:val="1"/>
          <w:bCs w:val="1"/>
          <w:color w:val="auto"/>
        </w:rPr>
        <w:t>SCHEDULE 1.1(B)</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COMMITMENTS OF LENDERS AND ADDRESSES FOR NOTICES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2 - Addresses for Notices to Borrowers and Guarantors: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AGENT</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PNC Bank, National Association</w:t>
      </w:r>
    </w:p>
    <w:p>
      <w:pPr>
        <w:spacing w:after="0" w:line="201" w:lineRule="auto"/>
        <w:rPr>
          <w:sz w:val="20"/>
          <w:szCs w:val="20"/>
          <w:color w:val="auto"/>
        </w:rPr>
      </w:pPr>
      <w:r>
        <w:rPr>
          <w:rFonts w:ascii="Arial" w:cs="Arial" w:eastAsia="Arial" w:hAnsi="Arial"/>
          <w:sz w:val="22"/>
          <w:szCs w:val="22"/>
          <w:color w:val="auto"/>
        </w:rPr>
        <w:t>The Tower at PNC Plaza,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300 Fifth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Mailstop: TT-TTWR-13-2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Pennsylvania 15222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Allison Fromm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(412) 645-9959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(412) 762-9767</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Agency Services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PNC Bank, 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Mail Stop: P7-PFSC-04-I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500 First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Pennsylvania 15219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(412) 762-6442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(412) 762-8672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BORROWERS and GUARANTORS: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 notices to Borrowers and Guarantors should be sent to:</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Name: L.B. Foster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 415 Holiday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Pittsburgh, Pennsylvania 15219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James Maloney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(412) 928-3450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(412) 928-7891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Schedule 1.1(B) – Page 2</w:t>
      </w:r>
    </w:p>
    <w:p>
      <w:pPr>
        <w:sectPr>
          <w:pgSz w:w="11900" w:h="16838" w:orient="portrait"/>
          <w:cols w:equalWidth="0" w:num="1">
            <w:col w:w="10219"/>
          </w:cols>
          <w:pgMar w:left="240" w:top="1422" w:right="1440"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Name: L.B. Foster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 415 Holiday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Pittsburgh, Pennsylvania 15219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Patrick Guinee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(412) 928-7829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(412) 928-7891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Name: L.B. Foster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 415 Holiday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Pittsburgh, Pennsylvania 15219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Christopher T. Kijowski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(412) 928-3448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(412) 928-3486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3399"/>
        <w:spacing w:after="0"/>
        <w:rPr>
          <w:sz w:val="20"/>
          <w:szCs w:val="20"/>
          <w:color w:val="auto"/>
        </w:rPr>
      </w:pPr>
      <w:r>
        <w:rPr>
          <w:rFonts w:ascii="Arial" w:cs="Arial" w:eastAsia="Arial" w:hAnsi="Arial"/>
          <w:sz w:val="22"/>
          <w:szCs w:val="22"/>
          <w:color w:val="auto"/>
        </w:rPr>
        <w:t>Schedule 1.1(B) – Page 3</w:t>
      </w:r>
    </w:p>
    <w:p>
      <w:pPr>
        <w:sectPr>
          <w:pgSz w:w="11900" w:h="16838" w:orient="portrait"/>
          <w:cols w:equalWidth="0" w:num="1">
            <w:col w:w="10219"/>
          </w:cols>
          <w:pgMar w:left="240" w:top="1428"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TAX COMPLIANCE CERTIFICATE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Lenders That Are Not Partnerships For U.S. Federal Income Tax Purposes)</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hereby made to the Third Amended and Restated Credit Agreement dated as of April 30, 2019 (as amended, supplemented or otherwise modified from time to time, the "</w:t>
      </w:r>
      <w:r>
        <w:rPr>
          <w:rFonts w:ascii="Arial" w:cs="Arial" w:eastAsia="Arial" w:hAnsi="Arial"/>
          <w:sz w:val="22"/>
          <w:szCs w:val="22"/>
          <w:b w:val="1"/>
          <w:bCs w:val="1"/>
          <w:color w:val="auto"/>
        </w:rPr>
        <w:t>Credit Agreement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L.B. FOSTER COMPANY</w:t>
      </w:r>
      <w:r>
        <w:rPr>
          <w:rFonts w:ascii="Arial" w:cs="Arial" w:eastAsia="Arial" w:hAnsi="Arial"/>
          <w:sz w:val="22"/>
          <w:szCs w:val="22"/>
          <w:color w:val="auto"/>
        </w:rPr>
        <w:t>, a Pennsylvania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the other Borrowers from time to time party thereto, the Guarantors from time to time party thereto, the lenders from time to time a party thereto and </w:t>
      </w: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in its capacity as administrative agent for the Lenders.</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Pursuant to the provisions of Section 5.9 [Taxes]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The undersigned has furnished the Administrative Agent and the Borrowers with a certificate of its non-U.S. Person status on IRS Form W-8BEN or W-8BEN-E. By executing this certificate, the undersigned agrees that (1) if the information provided on this certificate changes, the undersigned shall promptly so inform the Borrowers and the Administrative Agent, and</w:t>
      </w:r>
    </w:p>
    <w:p>
      <w:pPr>
        <w:spacing w:after="0" w:line="1" w:lineRule="exact"/>
        <w:rPr>
          <w:sz w:val="20"/>
          <w:szCs w:val="20"/>
          <w:color w:val="auto"/>
        </w:rPr>
      </w:pPr>
    </w:p>
    <w:p>
      <w:pPr>
        <w:jc w:val="both"/>
        <w:ind w:firstLine="8"/>
        <w:spacing w:after="0" w:line="245" w:lineRule="auto"/>
        <w:tabs>
          <w:tab w:leader="none" w:pos="32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LENDER]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ind w:left="20"/>
        <w:spacing w:after="0"/>
        <w:rPr>
          <w:sz w:val="20"/>
          <w:szCs w:val="20"/>
          <w:color w:val="auto"/>
        </w:rPr>
      </w:pPr>
      <w:r>
        <w:rPr>
          <w:rFonts w:ascii="Arial" w:cs="Arial" w:eastAsia="Arial" w:hAnsi="Arial"/>
          <w:sz w:val="22"/>
          <w:szCs w:val="22"/>
          <w:color w:val="auto"/>
        </w:rPr>
        <w:t>Title: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Page 1</w:t>
      </w:r>
    </w:p>
    <w:p>
      <w:pPr>
        <w:sectPr>
          <w:pgSz w:w="11900" w:h="16838" w:orient="portrait"/>
          <w:cols w:equalWidth="0" w:num="1">
            <w:col w:w="11420"/>
          </w:cols>
          <w:pgMar w:left="240" w:top="1428"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color w:val="auto"/>
        </w:rPr>
        <w:t>EXHIBIT 5.9.7(B)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TAX COMPLIANCE CERTIFICATE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Participants That Are Not Partnerships For U.S. Federal Income Tax Purposes)</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hereby made to the Third Amended and Restated Credit Agreement dated as of April 30, 2019 (as amended, supplemented or otherwise modified from time to time, the "</w:t>
      </w:r>
      <w:r>
        <w:rPr>
          <w:rFonts w:ascii="Arial" w:cs="Arial" w:eastAsia="Arial" w:hAnsi="Arial"/>
          <w:sz w:val="22"/>
          <w:szCs w:val="22"/>
          <w:b w:val="1"/>
          <w:bCs w:val="1"/>
          <w:color w:val="auto"/>
        </w:rPr>
        <w:t>Credit Agreement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L.B. FOSTER COMPANY</w:t>
      </w:r>
      <w:r>
        <w:rPr>
          <w:rFonts w:ascii="Arial" w:cs="Arial" w:eastAsia="Arial" w:hAnsi="Arial"/>
          <w:sz w:val="22"/>
          <w:szCs w:val="22"/>
          <w:color w:val="auto"/>
        </w:rPr>
        <w:t>, a Pennsylvania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the other Borrowers from time to time party thereto, the Guarantors from time to time party thereto, the lenders from time to time a party thereto and </w:t>
      </w: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in its capacity as administrative agent for the Lenders.</w:t>
      </w:r>
    </w:p>
    <w:p>
      <w:pPr>
        <w:spacing w:after="0" w:line="19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Pursuant to the provisions of Section 5.9 [Taxes]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PARTICIPANT]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ind w:left="20"/>
        <w:spacing w:after="0"/>
        <w:rPr>
          <w:sz w:val="20"/>
          <w:szCs w:val="20"/>
          <w:color w:val="auto"/>
        </w:rPr>
      </w:pPr>
      <w:r>
        <w:rPr>
          <w:rFonts w:ascii="Arial" w:cs="Arial" w:eastAsia="Arial" w:hAnsi="Arial"/>
          <w:sz w:val="22"/>
          <w:szCs w:val="22"/>
          <w:color w:val="auto"/>
        </w:rPr>
        <w:t>Title: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 – Page 1</w:t>
      </w:r>
    </w:p>
    <w:p>
      <w:pPr>
        <w:sectPr>
          <w:pgSz w:w="11900" w:h="16838" w:orient="portrait"/>
          <w:cols w:equalWidth="0" w:num="1">
            <w:col w:w="11420"/>
          </w:cols>
          <w:pgMar w:left="240" w:top="142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color w:val="auto"/>
        </w:rPr>
        <w:t>EXHIBIT 5.9.7(C)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TAX COMPLIANCE CERTIFICATE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Participants That Are Partnerships For U.S. Federal Income Tax Purposes)</w:t>
      </w:r>
    </w:p>
    <w:p>
      <w:pPr>
        <w:spacing w:after="0" w:line="1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hereby made to the Third Amended and Restated Credit Agreement dated as of April 30, 2019 (as amended, supplemented or otherwise modified from time to time, the "</w:t>
      </w:r>
      <w:r>
        <w:rPr>
          <w:rFonts w:ascii="Arial" w:cs="Arial" w:eastAsia="Arial" w:hAnsi="Arial"/>
          <w:sz w:val="22"/>
          <w:szCs w:val="22"/>
          <w:b w:val="1"/>
          <w:bCs w:val="1"/>
          <w:color w:val="auto"/>
        </w:rPr>
        <w:t>Credit Agreement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L.B. FOSTER COMPANY</w:t>
      </w:r>
      <w:r>
        <w:rPr>
          <w:rFonts w:ascii="Arial" w:cs="Arial" w:eastAsia="Arial" w:hAnsi="Arial"/>
          <w:sz w:val="22"/>
          <w:szCs w:val="22"/>
          <w:color w:val="auto"/>
        </w:rPr>
        <w:t>, a Pennsylvania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the other Borrowers from time to time party thereto, the Guarantors from time to time party thereto, the lenders from time to time a party thereto and </w:t>
      </w: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in its capacity as administrative agent for the Lenders.</w:t>
      </w:r>
    </w:p>
    <w:p>
      <w:pPr>
        <w:spacing w:after="0" w:line="19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Pursuant to the provisions of Section 5.9 [Taxes]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w:t>
      </w:r>
    </w:p>
    <w:p>
      <w:pPr>
        <w:spacing w:after="0" w:line="1" w:lineRule="exact"/>
        <w:rPr>
          <w:sz w:val="20"/>
          <w:szCs w:val="20"/>
          <w:color w:val="auto"/>
        </w:rPr>
      </w:pPr>
    </w:p>
    <w:p>
      <w:pPr>
        <w:ind w:firstLine="8"/>
        <w:spacing w:after="0" w:line="246" w:lineRule="auto"/>
        <w:tabs>
          <w:tab w:leader="none" w:pos="33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none of its direct or indirect partners/members is a controlled foreign corporation related to any Borrower as described in Section 881(c)(3)(C) of the Code.</w:t>
      </w:r>
    </w:p>
    <w:p>
      <w:pPr>
        <w:spacing w:after="0" w:line="19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w:t>
      </w:r>
    </w:p>
    <w:p>
      <w:pPr>
        <w:spacing w:after="0" w:line="4" w:lineRule="exact"/>
        <w:rPr>
          <w:sz w:val="20"/>
          <w:szCs w:val="20"/>
          <w:color w:val="auto"/>
        </w:rPr>
      </w:pPr>
    </w:p>
    <w:p>
      <w:pPr>
        <w:jc w:val="both"/>
        <w:ind w:firstLine="8"/>
        <w:spacing w:after="0" w:line="245" w:lineRule="auto"/>
        <w:tabs>
          <w:tab w:leader="none" w:pos="32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PARTICIPANT]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ind w:left="20"/>
        <w:spacing w:after="0"/>
        <w:rPr>
          <w:sz w:val="20"/>
          <w:szCs w:val="20"/>
          <w:color w:val="auto"/>
        </w:rPr>
      </w:pPr>
      <w:r>
        <w:rPr>
          <w:rFonts w:ascii="Arial" w:cs="Arial" w:eastAsia="Arial" w:hAnsi="Arial"/>
          <w:sz w:val="22"/>
          <w:szCs w:val="22"/>
          <w:color w:val="auto"/>
        </w:rPr>
        <w:t>Title: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 – Page 1</w:t>
      </w:r>
    </w:p>
    <w:p>
      <w:pPr>
        <w:sectPr>
          <w:pgSz w:w="11900" w:h="16838" w:orient="portrait"/>
          <w:cols w:equalWidth="0" w:num="1">
            <w:col w:w="11420"/>
          </w:cols>
          <w:pgMar w:left="240" w:top="142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color w:val="auto"/>
        </w:rPr>
        <w:t>EXHIBIT 5.9.7(D)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TAX COMPLIANCE CERTIFICATE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Lenders That Are Partnerships For U.S. Federal Income Tax Purposes)</w:t>
      </w:r>
    </w:p>
    <w:p>
      <w:pPr>
        <w:spacing w:after="0" w:line="1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hereby made to the Third Amended and Restated Credit Agreement dated as of April 30, 2019 (as amended, supplemented or otherwise modified from time to time, the "</w:t>
      </w:r>
      <w:r>
        <w:rPr>
          <w:rFonts w:ascii="Arial" w:cs="Arial" w:eastAsia="Arial" w:hAnsi="Arial"/>
          <w:sz w:val="22"/>
          <w:szCs w:val="22"/>
          <w:b w:val="1"/>
          <w:bCs w:val="1"/>
          <w:color w:val="auto"/>
        </w:rPr>
        <w:t>Credit Agreement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L.B. FOSTER COMPANY</w:t>
      </w:r>
      <w:r>
        <w:rPr>
          <w:rFonts w:ascii="Arial" w:cs="Arial" w:eastAsia="Arial" w:hAnsi="Arial"/>
          <w:sz w:val="22"/>
          <w:szCs w:val="22"/>
          <w:color w:val="auto"/>
        </w:rPr>
        <w:t>, a Pennsylvania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the other Borrowers from time to time party thereto, the Guarantors from time to time party thereto, the lenders from time to time a party thereto and </w:t>
      </w: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in its capacity as administrative agent for the Lenders.</w:t>
      </w:r>
    </w:p>
    <w:p>
      <w:pPr>
        <w:spacing w:after="0" w:line="13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Pursuant to the provisions of Section 5.9 [Taxes]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jc w:val="both"/>
        <w:ind w:firstLine="8"/>
        <w:spacing w:after="0" w:line="245" w:lineRule="auto"/>
        <w:tabs>
          <w:tab w:leader="none" w:pos="43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none of its direct or indirect partners/members is a ten percent shareholder of the Borrower within the meaning of Section 871(h)(3)(B) of the Code and (v) none of its direct or indirect partners/members is a controlled foreign corporation related to any Borrower as described in Section 881(c)(3)(C) of the Code.</w:t>
      </w:r>
    </w:p>
    <w:p>
      <w:pPr>
        <w:spacing w:after="0" w:line="13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The undersigned has furnished the Administrative Agent and the Borrowers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0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LENDER]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ind w:left="20"/>
        <w:spacing w:after="0"/>
        <w:rPr>
          <w:sz w:val="20"/>
          <w:szCs w:val="20"/>
          <w:color w:val="auto"/>
        </w:rPr>
      </w:pPr>
      <w:r>
        <w:rPr>
          <w:rFonts w:ascii="Arial" w:cs="Arial" w:eastAsia="Arial" w:hAnsi="Arial"/>
          <w:sz w:val="22"/>
          <w:szCs w:val="22"/>
          <w:color w:val="auto"/>
        </w:rPr>
        <w:t>Title: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 __, 20[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 – Page 1</w:t>
      </w:r>
    </w:p>
    <w:p>
      <w:pPr>
        <w:sectPr>
          <w:pgSz w:w="11900" w:h="16838" w:orient="portrait"/>
          <w:cols w:equalWidth="0" w:num="1">
            <w:col w:w="11420"/>
          </w:cols>
          <w:pgMar w:left="240" w:top="142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color w:val="auto"/>
        </w:rPr>
        <w:t>SCHEDULE 5.9.10</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Gross up and Indemnities for UK Borrowers</w:t>
      </w:r>
    </w:p>
    <w:p>
      <w:pPr>
        <w:spacing w:after="0" w:line="226"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22"/>
          <w:szCs w:val="22"/>
          <w:b w:val="1"/>
          <w:bCs w:val="1"/>
          <w:color w:val="010000"/>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In this Schedule:</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Borrower</w:t>
      </w:r>
      <w:r>
        <w:rPr>
          <w:rFonts w:ascii="Arial" w:cs="Arial" w:eastAsia="Arial" w:hAnsi="Arial"/>
          <w:sz w:val="22"/>
          <w:szCs w:val="22"/>
          <w:color w:val="auto"/>
        </w:rPr>
        <w:t>" means any permitted successors and assigns of the Borrower (as defined in the preamble to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CTA</w:t>
      </w:r>
      <w:r>
        <w:rPr>
          <w:rFonts w:ascii="Arial" w:cs="Arial" w:eastAsia="Arial" w:hAnsi="Arial"/>
          <w:sz w:val="22"/>
          <w:szCs w:val="22"/>
          <w:color w:val="auto"/>
        </w:rPr>
        <w:t>" means the Corporation Tax Act 2009.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Office</w:t>
      </w:r>
      <w:r>
        <w:rPr>
          <w:rFonts w:ascii="Arial" w:cs="Arial" w:eastAsia="Arial" w:hAnsi="Arial"/>
          <w:sz w:val="22"/>
          <w:szCs w:val="22"/>
          <w:color w:val="auto"/>
        </w:rPr>
        <w:t>" means:</w:t>
      </w:r>
    </w:p>
    <w:p>
      <w:pPr>
        <w:spacing w:after="0" w:line="226" w:lineRule="exact"/>
        <w:rPr>
          <w:sz w:val="20"/>
          <w:szCs w:val="20"/>
          <w:color w:val="auto"/>
        </w:rPr>
      </w:pPr>
    </w:p>
    <w:p>
      <w:pPr>
        <w:ind w:left="660" w:hanging="652"/>
        <w:spacing w:after="0" w:line="312" w:lineRule="auto"/>
        <w:tabs>
          <w:tab w:leader="none" w:pos="3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respect of a Lender or Issuing Lender, the office or offices notified by that Lender or Issuing Lender to the Agent in writing on or before the date it becomes a Lender or Issuing Lender (or, following that date, by not less than five Business Days' written notice) as the office or offices through which it will perform its obligations under this Agreement; or</w:t>
      </w:r>
    </w:p>
    <w:p>
      <w:pPr>
        <w:spacing w:after="0" w:line="133" w:lineRule="exact"/>
        <w:rPr>
          <w:rFonts w:ascii="Arial" w:cs="Arial" w:eastAsia="Arial" w:hAnsi="Arial"/>
          <w:sz w:val="19"/>
          <w:szCs w:val="19"/>
          <w:color w:val="auto"/>
        </w:rPr>
      </w:pPr>
    </w:p>
    <w:p>
      <w:pPr>
        <w:ind w:left="320" w:hanging="312"/>
        <w:spacing w:after="0"/>
        <w:tabs>
          <w:tab w:leader="none" w:pos="3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respect of any other Finance Party, the office in the jurisdiction in which it is resident for tax purposes.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Deduction</w:t>
      </w:r>
      <w:r>
        <w:rPr>
          <w:rFonts w:ascii="Arial" w:cs="Arial" w:eastAsia="Arial" w:hAnsi="Arial"/>
          <w:sz w:val="22"/>
          <w:szCs w:val="22"/>
          <w:color w:val="auto"/>
        </w:rPr>
        <w:t>" means a deduction impact pursuant to FATCA.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Party</w:t>
      </w:r>
      <w:r>
        <w:rPr>
          <w:rFonts w:ascii="Arial" w:cs="Arial" w:eastAsia="Arial" w:hAnsi="Arial"/>
          <w:sz w:val="22"/>
          <w:szCs w:val="22"/>
          <w:color w:val="auto"/>
        </w:rPr>
        <w:t>" means a Lender, an Issuing Lender or the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ITA</w:t>
      </w:r>
      <w:r>
        <w:rPr>
          <w:rFonts w:ascii="Arial" w:cs="Arial" w:eastAsia="Arial" w:hAnsi="Arial"/>
          <w:sz w:val="22"/>
          <w:szCs w:val="22"/>
          <w:color w:val="auto"/>
        </w:rPr>
        <w:t>" means the Income Tax Act 2007.</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Lender</w:t>
      </w:r>
      <w:r>
        <w:rPr>
          <w:rFonts w:ascii="Arial" w:cs="Arial" w:eastAsia="Arial" w:hAnsi="Arial"/>
          <w:sz w:val="22"/>
          <w:szCs w:val="22"/>
          <w:color w:val="auto"/>
        </w:rPr>
        <w:t>" means a new lender who becomes a party to this Agreement after the Closing Date, pursuant to Clause 12.16 of this Agreement.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Protected Party</w:t>
      </w:r>
      <w:r>
        <w:rPr>
          <w:rFonts w:ascii="Arial" w:cs="Arial" w:eastAsia="Arial" w:hAnsi="Arial"/>
          <w:sz w:val="22"/>
          <w:szCs w:val="22"/>
          <w:color w:val="auto"/>
        </w:rPr>
        <w:t>" means a Finance Party which is or will be subject to any liability or required to make any payment for or on account of Tax in relation to a sum received or receivable (or any sum deemed for the purposes of Tax to be received or receivable) under this Agreement or the other Loan Documents.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Lender</w:t>
      </w:r>
      <w:r>
        <w:rPr>
          <w:rFonts w:ascii="Arial" w:cs="Arial" w:eastAsia="Arial" w:hAnsi="Arial"/>
          <w:sz w:val="22"/>
          <w:szCs w:val="22"/>
          <w:color w:val="auto"/>
        </w:rPr>
        <w:t>" means:</w:t>
      </w:r>
    </w:p>
    <w:p>
      <w:pPr>
        <w:spacing w:after="0" w:line="226" w:lineRule="exact"/>
        <w:rPr>
          <w:sz w:val="20"/>
          <w:szCs w:val="20"/>
          <w:color w:val="auto"/>
        </w:rPr>
      </w:pPr>
    </w:p>
    <w:p>
      <w:pPr>
        <w:ind w:left="660" w:hanging="652"/>
        <w:spacing w:after="0" w:line="263" w:lineRule="auto"/>
        <w:tabs>
          <w:tab w:leader="none" w:pos="30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Lender which is beneficially entitled to interest payable to that Lender in respect of an advance under this Agreement or the other Loan Documents and is:</w:t>
      </w:r>
    </w:p>
    <w:p>
      <w:pPr>
        <w:spacing w:after="0" w:line="174" w:lineRule="exact"/>
        <w:rPr>
          <w:rFonts w:ascii="Arial" w:cs="Arial" w:eastAsia="Arial" w:hAnsi="Arial"/>
          <w:sz w:val="22"/>
          <w:szCs w:val="22"/>
          <w:color w:val="auto"/>
        </w:rPr>
      </w:pPr>
    </w:p>
    <w:p>
      <w:pPr>
        <w:ind w:left="920" w:hanging="264"/>
        <w:spacing w:after="0"/>
        <w:tabs>
          <w:tab w:leader="none" w:pos="920" w:val="left"/>
        </w:tabs>
        <w:numPr>
          <w:ilvl w:val="1"/>
          <w:numId w:val="115"/>
        </w:numPr>
        <w:rPr>
          <w:rFonts w:ascii="Arial" w:cs="Arial" w:eastAsia="Arial" w:hAnsi="Arial"/>
          <w:sz w:val="22"/>
          <w:szCs w:val="22"/>
          <w:color w:val="010000"/>
        </w:rPr>
      </w:pPr>
      <w:r>
        <w:rPr>
          <w:rFonts w:ascii="Arial" w:cs="Arial" w:eastAsia="Arial" w:hAnsi="Arial"/>
          <w:sz w:val="22"/>
          <w:szCs w:val="22"/>
          <w:color w:val="auto"/>
        </w:rPr>
        <w:t>a Lender:</w:t>
      </w:r>
    </w:p>
    <w:p>
      <w:pPr>
        <w:spacing w:after="0" w:line="219" w:lineRule="exact"/>
        <w:rPr>
          <w:rFonts w:ascii="Arial" w:cs="Arial" w:eastAsia="Arial" w:hAnsi="Arial"/>
          <w:sz w:val="22"/>
          <w:szCs w:val="22"/>
          <w:color w:val="010000"/>
        </w:rPr>
      </w:pPr>
    </w:p>
    <w:p>
      <w:pPr>
        <w:ind w:left="1960" w:right="20" w:hanging="655"/>
        <w:spacing w:after="0" w:line="263" w:lineRule="auto"/>
        <w:tabs>
          <w:tab w:leader="none" w:pos="1666" w:val="left"/>
        </w:tabs>
        <w:numPr>
          <w:ilvl w:val="2"/>
          <w:numId w:val="115"/>
        </w:numPr>
        <w:rPr>
          <w:rFonts w:ascii="Arial" w:cs="Arial" w:eastAsia="Arial" w:hAnsi="Arial"/>
          <w:sz w:val="22"/>
          <w:szCs w:val="22"/>
          <w:color w:val="010000"/>
        </w:rPr>
      </w:pPr>
      <w:r>
        <w:rPr>
          <w:rFonts w:ascii="Arial" w:cs="Arial" w:eastAsia="Arial" w:hAnsi="Arial"/>
          <w:sz w:val="22"/>
          <w:szCs w:val="22"/>
          <w:color w:val="auto"/>
        </w:rPr>
        <w:t>which is a bank (as defined for the purpose of section 879 of the ITA) making an advance under this Agreement or the other Loan Documents; or</w:t>
      </w:r>
    </w:p>
    <w:p>
      <w:pPr>
        <w:sectPr>
          <w:pgSz w:w="11900" w:h="16838" w:orient="portrait"/>
          <w:cols w:equalWidth="0" w:num="1">
            <w:col w:w="11420"/>
          </w:cols>
          <w:pgMar w:left="240" w:top="1428" w:right="239" w:bottom="1440" w:gutter="0" w:footer="0" w:header="0"/>
        </w:sectPr>
      </w:pPr>
    </w:p>
    <w:bookmarkStart w:id="156" w:name="page157"/>
    <w:bookmarkEnd w:id="156"/>
    <w:p>
      <w:pPr>
        <w:ind w:left="1960" w:hanging="655"/>
        <w:spacing w:after="0" w:line="287" w:lineRule="auto"/>
        <w:tabs>
          <w:tab w:leader="none" w:pos="1654" w:val="left"/>
        </w:tabs>
        <w:numPr>
          <w:ilvl w:val="0"/>
          <w:numId w:val="116"/>
        </w:numPr>
        <w:rPr>
          <w:rFonts w:ascii="Arial" w:cs="Arial" w:eastAsia="Arial" w:hAnsi="Arial"/>
          <w:sz w:val="21"/>
          <w:szCs w:val="21"/>
          <w:color w:val="010000"/>
        </w:rPr>
      </w:pPr>
      <w:r>
        <w:rPr>
          <w:rFonts w:ascii="Arial" w:cs="Arial" w:eastAsia="Arial" w:hAnsi="Arial"/>
          <w:sz w:val="21"/>
          <w:szCs w:val="21"/>
          <w:color w:val="auto"/>
        </w:rPr>
        <w:t>in respect of an advance made under this Agreement or the other Loan Documents by a person that was a bank (as defined for the purpose of section 879 of the ITA) at the time that that advance was made,</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which, in either case, is within the charge to United Kingdom corporation tax as respects any payments of interest made in respect of that advance;</w:t>
      </w:r>
    </w:p>
    <w:p>
      <w:pPr>
        <w:spacing w:after="0" w:line="175" w:lineRule="exact"/>
        <w:rPr>
          <w:sz w:val="20"/>
          <w:szCs w:val="20"/>
          <w:color w:val="auto"/>
        </w:rPr>
      </w:pPr>
    </w:p>
    <w:p>
      <w:pPr>
        <w:ind w:left="980" w:hanging="324"/>
        <w:spacing w:after="0"/>
        <w:tabs>
          <w:tab w:leader="none" w:pos="980" w:val="left"/>
        </w:tabs>
        <w:numPr>
          <w:ilvl w:val="0"/>
          <w:numId w:val="117"/>
        </w:numPr>
        <w:rPr>
          <w:rFonts w:ascii="Arial" w:cs="Arial" w:eastAsia="Arial" w:hAnsi="Arial"/>
          <w:sz w:val="22"/>
          <w:szCs w:val="22"/>
          <w:color w:val="010000"/>
        </w:rPr>
      </w:pPr>
      <w:r>
        <w:rPr>
          <w:rFonts w:ascii="Arial" w:cs="Arial" w:eastAsia="Arial" w:hAnsi="Arial"/>
          <w:sz w:val="22"/>
          <w:szCs w:val="22"/>
          <w:color w:val="auto"/>
        </w:rPr>
        <w:t>a Lender which is:</w:t>
      </w:r>
    </w:p>
    <w:p>
      <w:pPr>
        <w:spacing w:after="0" w:line="219" w:lineRule="exact"/>
        <w:rPr>
          <w:rFonts w:ascii="Arial" w:cs="Arial" w:eastAsia="Arial" w:hAnsi="Arial"/>
          <w:sz w:val="22"/>
          <w:szCs w:val="22"/>
          <w:color w:val="010000"/>
        </w:rPr>
      </w:pPr>
    </w:p>
    <w:p>
      <w:pPr>
        <w:ind w:left="1660" w:hanging="355"/>
        <w:spacing w:after="0"/>
        <w:tabs>
          <w:tab w:leader="none" w:pos="1660" w:val="left"/>
        </w:tabs>
        <w:numPr>
          <w:ilvl w:val="1"/>
          <w:numId w:val="117"/>
        </w:numPr>
        <w:rPr>
          <w:rFonts w:ascii="Arial" w:cs="Arial" w:eastAsia="Arial" w:hAnsi="Arial"/>
          <w:sz w:val="22"/>
          <w:szCs w:val="22"/>
          <w:color w:val="010000"/>
        </w:rPr>
      </w:pPr>
      <w:r>
        <w:rPr>
          <w:rFonts w:ascii="Arial" w:cs="Arial" w:eastAsia="Arial" w:hAnsi="Arial"/>
          <w:sz w:val="22"/>
          <w:szCs w:val="22"/>
          <w:color w:val="auto"/>
        </w:rPr>
        <w:t>a company resident in the United Kingdom for United Kingdom tax purposes;</w:t>
      </w:r>
    </w:p>
    <w:p>
      <w:pPr>
        <w:spacing w:after="0" w:line="219" w:lineRule="exact"/>
        <w:rPr>
          <w:rFonts w:ascii="Arial" w:cs="Arial" w:eastAsia="Arial" w:hAnsi="Arial"/>
          <w:sz w:val="22"/>
          <w:szCs w:val="22"/>
          <w:color w:val="010000"/>
        </w:rPr>
      </w:pPr>
    </w:p>
    <w:p>
      <w:pPr>
        <w:ind w:left="1640" w:hanging="335"/>
        <w:spacing w:after="0"/>
        <w:tabs>
          <w:tab w:leader="none" w:pos="1640" w:val="left"/>
        </w:tabs>
        <w:numPr>
          <w:ilvl w:val="1"/>
          <w:numId w:val="117"/>
        </w:numPr>
        <w:rPr>
          <w:rFonts w:ascii="Arial" w:cs="Arial" w:eastAsia="Arial" w:hAnsi="Arial"/>
          <w:sz w:val="22"/>
          <w:szCs w:val="22"/>
          <w:color w:val="010000"/>
        </w:rPr>
      </w:pPr>
      <w:r>
        <w:rPr>
          <w:rFonts w:ascii="Arial" w:cs="Arial" w:eastAsia="Arial" w:hAnsi="Arial"/>
          <w:sz w:val="22"/>
          <w:szCs w:val="22"/>
          <w:color w:val="auto"/>
        </w:rPr>
        <w:t>a partnership each member of which is:</w:t>
      </w:r>
    </w:p>
    <w:p>
      <w:pPr>
        <w:spacing w:after="0" w:line="219" w:lineRule="exact"/>
        <w:rPr>
          <w:rFonts w:ascii="Arial" w:cs="Arial" w:eastAsia="Arial" w:hAnsi="Arial"/>
          <w:sz w:val="22"/>
          <w:szCs w:val="22"/>
          <w:color w:val="010000"/>
        </w:rPr>
      </w:pPr>
    </w:p>
    <w:p>
      <w:pPr>
        <w:ind w:left="2260" w:hanging="307"/>
        <w:spacing w:after="0"/>
        <w:tabs>
          <w:tab w:leader="none" w:pos="2260" w:val="left"/>
        </w:tabs>
        <w:numPr>
          <w:ilvl w:val="2"/>
          <w:numId w:val="117"/>
        </w:numPr>
        <w:rPr>
          <w:rFonts w:ascii="Arial" w:cs="Arial" w:eastAsia="Arial" w:hAnsi="Arial"/>
          <w:sz w:val="22"/>
          <w:szCs w:val="22"/>
          <w:color w:val="010000"/>
        </w:rPr>
      </w:pPr>
      <w:r>
        <w:rPr>
          <w:rFonts w:ascii="Arial" w:cs="Arial" w:eastAsia="Arial" w:hAnsi="Arial"/>
          <w:sz w:val="22"/>
          <w:szCs w:val="22"/>
          <w:color w:val="auto"/>
        </w:rPr>
        <w:t>a company so resident in the United Kingdom; or</w:t>
      </w:r>
    </w:p>
    <w:p>
      <w:pPr>
        <w:spacing w:after="0" w:line="219" w:lineRule="exact"/>
        <w:rPr>
          <w:rFonts w:ascii="Arial" w:cs="Arial" w:eastAsia="Arial" w:hAnsi="Arial"/>
          <w:sz w:val="22"/>
          <w:szCs w:val="22"/>
          <w:color w:val="010000"/>
        </w:rPr>
      </w:pPr>
    </w:p>
    <w:p>
      <w:pPr>
        <w:ind w:left="2600" w:hanging="647"/>
        <w:spacing w:after="0" w:line="265" w:lineRule="auto"/>
        <w:tabs>
          <w:tab w:leader="none" w:pos="2285" w:val="left"/>
        </w:tabs>
        <w:numPr>
          <w:ilvl w:val="2"/>
          <w:numId w:val="117"/>
        </w:numPr>
        <w:rPr>
          <w:rFonts w:ascii="Arial" w:cs="Arial" w:eastAsia="Arial" w:hAnsi="Arial"/>
          <w:sz w:val="21"/>
          <w:szCs w:val="21"/>
          <w:color w:val="010000"/>
        </w:rPr>
      </w:pPr>
      <w:r>
        <w:rPr>
          <w:rFonts w:ascii="Arial" w:cs="Arial" w:eastAsia="Arial" w:hAnsi="Arial"/>
          <w:sz w:val="21"/>
          <w:szCs w:val="21"/>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75" w:lineRule="exact"/>
        <w:rPr>
          <w:rFonts w:ascii="Arial" w:cs="Arial" w:eastAsia="Arial" w:hAnsi="Arial"/>
          <w:sz w:val="21"/>
          <w:szCs w:val="21"/>
          <w:color w:val="010000"/>
        </w:rPr>
      </w:pPr>
    </w:p>
    <w:p>
      <w:pPr>
        <w:ind w:left="1960" w:right="20" w:hanging="655"/>
        <w:spacing w:after="0" w:line="312" w:lineRule="auto"/>
        <w:tabs>
          <w:tab w:leader="none" w:pos="1667" w:val="left"/>
        </w:tabs>
        <w:numPr>
          <w:ilvl w:val="1"/>
          <w:numId w:val="117"/>
        </w:numPr>
        <w:rPr>
          <w:rFonts w:ascii="Arial" w:cs="Arial" w:eastAsia="Arial" w:hAnsi="Arial"/>
          <w:sz w:val="19"/>
          <w:szCs w:val="19"/>
          <w:color w:val="010000"/>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33" w:lineRule="exact"/>
        <w:rPr>
          <w:rFonts w:ascii="Arial" w:cs="Arial" w:eastAsia="Arial" w:hAnsi="Arial"/>
          <w:sz w:val="19"/>
          <w:szCs w:val="19"/>
          <w:color w:val="010000"/>
        </w:rPr>
      </w:pPr>
    </w:p>
    <w:p>
      <w:pPr>
        <w:ind w:left="1040" w:hanging="384"/>
        <w:spacing w:after="0"/>
        <w:tabs>
          <w:tab w:leader="none" w:pos="1040" w:val="left"/>
        </w:tabs>
        <w:numPr>
          <w:ilvl w:val="0"/>
          <w:numId w:val="117"/>
        </w:numPr>
        <w:rPr>
          <w:rFonts w:ascii="Arial" w:cs="Arial" w:eastAsia="Arial" w:hAnsi="Arial"/>
          <w:sz w:val="22"/>
          <w:szCs w:val="22"/>
          <w:color w:val="010000"/>
        </w:rPr>
      </w:pPr>
      <w:r>
        <w:rPr>
          <w:rFonts w:ascii="Arial" w:cs="Arial" w:eastAsia="Arial" w:hAnsi="Arial"/>
          <w:sz w:val="22"/>
          <w:szCs w:val="22"/>
          <w:color w:val="auto"/>
        </w:rPr>
        <w:t>a Treaty Lender; or</w:t>
      </w:r>
    </w:p>
    <w:p>
      <w:pPr>
        <w:spacing w:after="0" w:line="220" w:lineRule="exact"/>
        <w:rPr>
          <w:sz w:val="20"/>
          <w:szCs w:val="20"/>
          <w:color w:val="auto"/>
        </w:rPr>
      </w:pPr>
    </w:p>
    <w:p>
      <w:pPr>
        <w:ind w:left="660" w:hanging="652"/>
        <w:spacing w:after="0" w:line="263" w:lineRule="auto"/>
        <w:tabs>
          <w:tab w:leader="none" w:pos="33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 Lender which is a building society (as defined for the purposes of section 880 of the ITA) making an advance under this Agreement or the other Loan Documents.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Obligor</w:t>
      </w:r>
      <w:r>
        <w:rPr>
          <w:rFonts w:ascii="Arial" w:cs="Arial" w:eastAsia="Arial" w:hAnsi="Arial"/>
          <w:sz w:val="22"/>
          <w:szCs w:val="22"/>
          <w:color w:val="auto"/>
        </w:rPr>
        <w:t>" means a UK Borrower, a Guarantor making a payment on behalf of a UK Borrower or another Loan Party which is required to withhold United Kingdom income tax from interest payments.</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tax, levy, impost, duty or other charge or withholding of a similar nature (including any penalty or interest payable in connection with any failure to pay or any delay in paying any of the same).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Confirmation</w:t>
      </w:r>
      <w:r>
        <w:rPr>
          <w:rFonts w:ascii="Arial" w:cs="Arial" w:eastAsia="Arial" w:hAnsi="Arial"/>
          <w:sz w:val="22"/>
          <w:szCs w:val="22"/>
          <w:color w:val="auto"/>
        </w:rPr>
        <w:t>" means a confirmation by a Lender that the person beneficially entitled to interest payable to that Lender in respect of an advance under the Agreement or the other Loan Documents is either:</w:t>
      </w:r>
    </w:p>
    <w:p>
      <w:pPr>
        <w:spacing w:after="0" w:line="168" w:lineRule="exact"/>
        <w:rPr>
          <w:sz w:val="20"/>
          <w:szCs w:val="20"/>
          <w:color w:val="auto"/>
        </w:rPr>
      </w:pPr>
    </w:p>
    <w:p>
      <w:pPr>
        <w:ind w:left="300" w:hanging="292"/>
        <w:spacing w:after="0"/>
        <w:tabs>
          <w:tab w:leader="none" w:pos="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 partnership each member of which is:</w:t>
      </w:r>
    </w:p>
    <w:p>
      <w:pPr>
        <w:sectPr>
          <w:pgSz w:w="11900" w:h="16838" w:orient="portrait"/>
          <w:cols w:equalWidth="0" w:num="1">
            <w:col w:w="11420"/>
          </w:cols>
          <w:pgMar w:left="240" w:top="1428" w:right="239" w:bottom="1440" w:gutter="0" w:footer="0" w:header="0"/>
        </w:sectPr>
      </w:pPr>
    </w:p>
    <w:bookmarkStart w:id="157" w:name="page158"/>
    <w:bookmarkEnd w:id="157"/>
    <w:p>
      <w:pPr>
        <w:ind w:left="920" w:hanging="264"/>
        <w:spacing w:after="0"/>
        <w:tabs>
          <w:tab w:leader="none" w:pos="920"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a company so resident in the United Kingdom; or</w:t>
      </w:r>
    </w:p>
    <w:p>
      <w:pPr>
        <w:spacing w:after="0" w:line="219" w:lineRule="exact"/>
        <w:rPr>
          <w:rFonts w:ascii="Arial" w:cs="Arial" w:eastAsia="Arial" w:hAnsi="Arial"/>
          <w:sz w:val="22"/>
          <w:szCs w:val="22"/>
          <w:color w:val="010000"/>
        </w:rPr>
      </w:pPr>
    </w:p>
    <w:p>
      <w:pPr>
        <w:ind w:left="1300" w:hanging="644"/>
        <w:spacing w:after="0" w:line="250" w:lineRule="auto"/>
        <w:tabs>
          <w:tab w:leader="none" w:pos="983"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a company not so resident in the United Kingdom which carries on a trade in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8" w:lineRule="exact"/>
        <w:rPr>
          <w:rFonts w:ascii="Arial" w:cs="Arial" w:eastAsia="Arial" w:hAnsi="Arial"/>
          <w:sz w:val="22"/>
          <w:szCs w:val="22"/>
          <w:color w:val="010000"/>
        </w:rPr>
      </w:pPr>
    </w:p>
    <w:p>
      <w:pPr>
        <w:ind w:left="660" w:hanging="652"/>
        <w:spacing w:after="0" w:line="253" w:lineRule="auto"/>
        <w:tabs>
          <w:tab w:leader="none" w:pos="33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Credit</w:t>
      </w:r>
      <w:r>
        <w:rPr>
          <w:rFonts w:ascii="Arial" w:cs="Arial" w:eastAsia="Arial" w:hAnsi="Arial"/>
          <w:sz w:val="22"/>
          <w:szCs w:val="22"/>
          <w:color w:val="auto"/>
        </w:rPr>
        <w:t>" means a credit against, relief or remission for, or repayment of, any Tax.</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means a deduction or withholding for or on account of Tax from a payment under this Agreement or the other Loan Documents other than a FATCA Deduction.</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Payment</w:t>
      </w:r>
      <w:r>
        <w:rPr>
          <w:rFonts w:ascii="Arial" w:cs="Arial" w:eastAsia="Arial" w:hAnsi="Arial"/>
          <w:sz w:val="22"/>
          <w:szCs w:val="22"/>
          <w:color w:val="auto"/>
        </w:rPr>
        <w:t>" means either the increase in a payment made by a Relevant Obligor to a Finance Party under Clause 2 (Tax gross-up) of this Schedule or a payment under Clause 3 (Tax indemnity) of this Schedule.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Treaty Lender</w:t>
      </w:r>
      <w:r>
        <w:rPr>
          <w:rFonts w:ascii="Arial" w:cs="Arial" w:eastAsia="Arial" w:hAnsi="Arial"/>
          <w:sz w:val="22"/>
          <w:szCs w:val="22"/>
          <w:color w:val="auto"/>
        </w:rPr>
        <w:t>" means a Lender which:</w:t>
      </w:r>
    </w:p>
    <w:p>
      <w:pPr>
        <w:spacing w:after="0" w:line="226" w:lineRule="exact"/>
        <w:rPr>
          <w:sz w:val="20"/>
          <w:szCs w:val="20"/>
          <w:color w:val="auto"/>
        </w:rPr>
      </w:pPr>
    </w:p>
    <w:p>
      <w:pPr>
        <w:ind w:left="300" w:hanging="292"/>
        <w:spacing w:after="0"/>
        <w:tabs>
          <w:tab w:leader="none" w:pos="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is treated as a resident of a Treaty State for the purposes of the Treaty;</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33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does not carry on a business in the United Kingdom through a permanent establishment with which that Lender's obligations under this Agreement are effectively connected</w:t>
      </w:r>
    </w:p>
    <w:p>
      <w:pPr>
        <w:spacing w:after="0" w:line="174" w:lineRule="exact"/>
        <w:rPr>
          <w:rFonts w:ascii="Arial" w:cs="Arial" w:eastAsia="Arial" w:hAnsi="Arial"/>
          <w:sz w:val="22"/>
          <w:szCs w:val="22"/>
          <w:color w:val="auto"/>
        </w:rPr>
      </w:pPr>
    </w:p>
    <w:p>
      <w:pPr>
        <w:ind w:left="660" w:hanging="652"/>
        <w:spacing w:after="0" w:line="248" w:lineRule="auto"/>
        <w:tabs>
          <w:tab w:leader="none" w:pos="30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meets all other conditions in the Treaty for full exemption from United Kingdom taxation on interest which relate to that Lender (including its tax, qualified person or other status, the manner in which or the period for which it holds any rights under this Agreement and any other Loan Document, the reasons or purposes for its acquisition of such rights and the nature of any arrangements by which it disposes of or otherwise turns to account such rights but excluding any procedural requirements or formalities.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Treaty State</w:t>
      </w:r>
      <w:r>
        <w:rPr>
          <w:rFonts w:ascii="Arial" w:cs="Arial" w:eastAsia="Arial" w:hAnsi="Arial"/>
          <w:sz w:val="22"/>
          <w:szCs w:val="22"/>
          <w:color w:val="auto"/>
        </w:rPr>
        <w:t>" means a jurisdiction having a double taxation agreement (a "Treaty") with the United Kingdom which makes provision for full exemption from tax imposed by the United Kingdom on interest.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Non-Bank Lender</w:t>
      </w:r>
      <w:r>
        <w:rPr>
          <w:rFonts w:ascii="Arial" w:cs="Arial" w:eastAsia="Arial" w:hAnsi="Arial"/>
          <w:sz w:val="22"/>
          <w:szCs w:val="22"/>
          <w:color w:val="auto"/>
        </w:rPr>
        <w:t>" means where a Lender becomes a party to this Agreement after the day on which this Agreement is entered into, a Lender which gives a Tax Confirmation in the Commitment Transfer Supplement which it executes on becoming a party to this Agreement.</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 United Kingdom value added tax as provided for in the Value Added Tax Act 1994 and any other tax of a similar nature.</w:t>
      </w:r>
    </w:p>
    <w:p>
      <w:pPr>
        <w:sectPr>
          <w:pgSz w:w="11900" w:h="16838" w:orient="portrait"/>
          <w:cols w:equalWidth="0" w:num="1">
            <w:col w:w="11420"/>
          </w:cols>
          <w:pgMar w:left="240" w:top="1428" w:right="239" w:bottom="1440" w:gutter="0" w:footer="0" w:header="0"/>
        </w:sectPr>
      </w:pPr>
    </w:p>
    <w:bookmarkStart w:id="158" w:name="page159"/>
    <w:bookmarkEnd w:id="158"/>
    <w:p>
      <w:pPr>
        <w:jc w:val="both"/>
        <w:spacing w:after="0" w:line="256" w:lineRule="auto"/>
        <w:rPr>
          <w:sz w:val="20"/>
          <w:szCs w:val="20"/>
          <w:color w:val="auto"/>
        </w:rPr>
      </w:pPr>
      <w:r>
        <w:rPr>
          <w:rFonts w:ascii="Arial" w:cs="Arial" w:eastAsia="Arial" w:hAnsi="Arial"/>
          <w:sz w:val="22"/>
          <w:szCs w:val="22"/>
          <w:color w:val="auto"/>
        </w:rPr>
        <w:t>Unless a contrary indication appears, in this Schedule 3.10 a reference to "</w:t>
      </w:r>
      <w:r>
        <w:rPr>
          <w:rFonts w:ascii="Arial" w:cs="Arial" w:eastAsia="Arial" w:hAnsi="Arial"/>
          <w:sz w:val="22"/>
          <w:szCs w:val="22"/>
          <w:b w:val="1"/>
          <w:bCs w:val="1"/>
          <w:color w:val="auto"/>
        </w:rPr>
        <w:t>determines</w:t>
      </w:r>
      <w:r>
        <w:rPr>
          <w:rFonts w:ascii="Arial" w:cs="Arial" w:eastAsia="Arial" w:hAnsi="Arial"/>
          <w:sz w:val="22"/>
          <w:szCs w:val="22"/>
          <w:color w:val="auto"/>
        </w:rPr>
        <w:t>" or "</w:t>
      </w:r>
      <w:r>
        <w:rPr>
          <w:rFonts w:ascii="Arial" w:cs="Arial" w:eastAsia="Arial" w:hAnsi="Arial"/>
          <w:sz w:val="22"/>
          <w:szCs w:val="22"/>
          <w:b w:val="1"/>
          <w:bCs w:val="1"/>
          <w:color w:val="auto"/>
        </w:rPr>
        <w:t>determined</w:t>
      </w:r>
      <w:r>
        <w:rPr>
          <w:rFonts w:ascii="Arial" w:cs="Arial" w:eastAsia="Arial" w:hAnsi="Arial"/>
          <w:sz w:val="22"/>
          <w:szCs w:val="22"/>
          <w:color w:val="auto"/>
        </w:rPr>
        <w:t>" means a determination made in the reasonable discretion of the person making the determination. References to paragraphs in this Schedule are to paragraphs of this Schedule unless otherwise specified.</w:t>
      </w:r>
    </w:p>
    <w:p>
      <w:pPr>
        <w:spacing w:after="0" w:line="182" w:lineRule="exact"/>
        <w:rPr>
          <w:sz w:val="20"/>
          <w:szCs w:val="20"/>
          <w:color w:val="auto"/>
        </w:rPr>
      </w:pPr>
    </w:p>
    <w:p>
      <w:pPr>
        <w:ind w:left="220" w:hanging="212"/>
        <w:spacing w:after="0"/>
        <w:tabs>
          <w:tab w:leader="none" w:pos="220" w:val="left"/>
        </w:tabs>
        <w:numPr>
          <w:ilvl w:val="0"/>
          <w:numId w:val="123"/>
        </w:numPr>
        <w:rPr>
          <w:rFonts w:ascii="Arial" w:cs="Arial" w:eastAsia="Arial" w:hAnsi="Arial"/>
          <w:sz w:val="22"/>
          <w:szCs w:val="22"/>
          <w:b w:val="1"/>
          <w:bCs w:val="1"/>
          <w:color w:val="010000"/>
        </w:rPr>
      </w:pPr>
      <w:r>
        <w:rPr>
          <w:rFonts w:ascii="Arial" w:cs="Arial" w:eastAsia="Arial" w:hAnsi="Arial"/>
          <w:sz w:val="22"/>
          <w:szCs w:val="22"/>
          <w:u w:val="single" w:color="auto"/>
          <w:color w:val="auto"/>
        </w:rPr>
        <w:t>Tax gross-up</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color w:val="000000"/>
        </w:rPr>
        <w:t>Each Relevant Obligor shall make all payments to be made by it without any Tax Deduction, unless a Tax Deduction is required</w:t>
      </w:r>
      <w:r>
        <w:rPr>
          <w:rFonts w:ascii="Arial" w:cs="Arial" w:eastAsia="Arial" w:hAnsi="Arial"/>
          <w:sz w:val="22"/>
          <w:szCs w:val="22"/>
          <w:color w:val="010000"/>
        </w:rPr>
        <w:t xml:space="preserve"> </w:t>
      </w:r>
      <w:r>
        <w:rPr>
          <w:rFonts w:ascii="Arial" w:cs="Arial" w:eastAsia="Arial" w:hAnsi="Arial"/>
          <w:sz w:val="22"/>
          <w:szCs w:val="22"/>
          <w:color w:val="000000"/>
        </w:rPr>
        <w:t>by law.</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The Company shall promptly upon becoming aware that a Relevant Obligor must make a Tax Deduction (or that there is any</w:t>
      </w:r>
      <w:r>
        <w:rPr>
          <w:rFonts w:ascii="Arial" w:cs="Arial" w:eastAsia="Arial" w:hAnsi="Arial"/>
          <w:sz w:val="22"/>
          <w:szCs w:val="22"/>
          <w:color w:val="010000"/>
        </w:rPr>
        <w:t xml:space="preserve"> </w:t>
      </w:r>
      <w:r>
        <w:rPr>
          <w:rFonts w:ascii="Arial" w:cs="Arial" w:eastAsia="Arial" w:hAnsi="Arial"/>
          <w:sz w:val="22"/>
          <w:szCs w:val="22"/>
          <w:color w:val="000000"/>
        </w:rPr>
        <w:t>change in the rate or the basis of a Tax Deduction) notify the Administrative Agent accordingly. Similarly, a Lender or Issuing Lender shall promptly notify the Administrative Agent on becoming so aware in respect of a payment payable to that Lender or Issuing Lender. If the Administrative Agent receives such notification from a Lender or Issuing Lender it shall promptly notify the Company and that Relevant Obligor.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color w:val="000000"/>
        </w:rPr>
        <w:t>If a Tax Deduction is required by law to be made by a Relevant Obligor, the amount of the payment due from that Relevant</w:t>
      </w:r>
      <w:r>
        <w:rPr>
          <w:rFonts w:ascii="Arial" w:cs="Arial" w:eastAsia="Arial" w:hAnsi="Arial"/>
          <w:sz w:val="22"/>
          <w:szCs w:val="22"/>
          <w:color w:val="010000"/>
        </w:rPr>
        <w:t xml:space="preserve"> </w:t>
      </w:r>
      <w:r>
        <w:rPr>
          <w:rFonts w:ascii="Arial" w:cs="Arial" w:eastAsia="Arial" w:hAnsi="Arial"/>
          <w:sz w:val="22"/>
          <w:szCs w:val="22"/>
          <w:color w:val="000000"/>
        </w:rPr>
        <w:t>Obligor shall be increased to an amount which (after making any Tax Deduction) leaves an amount equal to the payment which would have been due if no Tax Deduction had been required.</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color w:val="000000"/>
        </w:rPr>
        <w:t>Any payment to a Lender shall not be increased under paragraph 2.3 above by reason of a Tax Deduction on account of Tax</w:t>
      </w:r>
      <w:r>
        <w:rPr>
          <w:rFonts w:ascii="Arial" w:cs="Arial" w:eastAsia="Arial" w:hAnsi="Arial"/>
          <w:sz w:val="22"/>
          <w:szCs w:val="22"/>
          <w:color w:val="010000"/>
        </w:rPr>
        <w:t xml:space="preserve"> </w:t>
      </w:r>
      <w:r>
        <w:rPr>
          <w:rFonts w:ascii="Arial" w:cs="Arial" w:eastAsia="Arial" w:hAnsi="Arial"/>
          <w:sz w:val="22"/>
          <w:szCs w:val="22"/>
          <w:color w:val="000000"/>
        </w:rPr>
        <w:t>imposed by the United Kingdom, if on the date on which the payment falls due:</w:t>
      </w:r>
    </w:p>
    <w:p>
      <w:pPr>
        <w:spacing w:after="0" w:line="175" w:lineRule="exact"/>
        <w:rPr>
          <w:sz w:val="20"/>
          <w:szCs w:val="20"/>
          <w:color w:val="auto"/>
        </w:rPr>
      </w:pPr>
    </w:p>
    <w:p>
      <w:pPr>
        <w:ind w:left="660" w:hanging="652"/>
        <w:spacing w:after="0" w:line="302" w:lineRule="auto"/>
        <w:tabs>
          <w:tab w:leader="none" w:pos="30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42" w:lineRule="exact"/>
        <w:rPr>
          <w:rFonts w:ascii="Arial" w:cs="Arial" w:eastAsia="Arial" w:hAnsi="Arial"/>
          <w:sz w:val="19"/>
          <w:szCs w:val="19"/>
          <w:color w:val="auto"/>
        </w:rPr>
      </w:pPr>
    </w:p>
    <w:p>
      <w:pPr>
        <w:ind w:left="320" w:hanging="312"/>
        <w:spacing w:after="0"/>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relevant Lender is a Qualifying Lender solely by virtue of paragraph (a)(ii) of the definition of Qualifying Lender and:</w:t>
      </w:r>
    </w:p>
    <w:p>
      <w:pPr>
        <w:spacing w:after="0" w:line="225" w:lineRule="exact"/>
        <w:rPr>
          <w:rFonts w:ascii="Arial" w:cs="Arial" w:eastAsia="Arial" w:hAnsi="Arial"/>
          <w:sz w:val="21"/>
          <w:szCs w:val="21"/>
          <w:color w:val="auto"/>
        </w:rPr>
      </w:pPr>
    </w:p>
    <w:p>
      <w:pPr>
        <w:ind w:left="1300" w:hanging="644"/>
        <w:spacing w:after="0" w:line="256" w:lineRule="auto"/>
        <w:tabs>
          <w:tab w:leader="none" w:pos="910" w:val="left"/>
        </w:tabs>
        <w:numPr>
          <w:ilvl w:val="1"/>
          <w:numId w:val="124"/>
        </w:numPr>
        <w:rPr>
          <w:rFonts w:ascii="Arial" w:cs="Arial" w:eastAsia="Arial" w:hAnsi="Arial"/>
          <w:sz w:val="22"/>
          <w:szCs w:val="22"/>
          <w:color w:val="010000"/>
        </w:rPr>
      </w:pPr>
      <w:r>
        <w:rPr>
          <w:rFonts w:ascii="Arial" w:cs="Arial" w:eastAsia="Arial" w:hAnsi="Arial"/>
          <w:sz w:val="22"/>
          <w:szCs w:val="22"/>
          <w:color w:val="auto"/>
        </w:rPr>
        <w:t>an officer of H.M. Revenue &amp; Customs has given (and not revoked) a direction (a "</w:t>
      </w:r>
      <w:r>
        <w:rPr>
          <w:rFonts w:ascii="Arial" w:cs="Arial" w:eastAsia="Arial" w:hAnsi="Arial"/>
          <w:sz w:val="22"/>
          <w:szCs w:val="22"/>
          <w:b w:val="1"/>
          <w:bCs w:val="1"/>
          <w:color w:val="auto"/>
        </w:rPr>
        <w:t>Direction</w:t>
      </w:r>
      <w:r>
        <w:rPr>
          <w:rFonts w:ascii="Arial" w:cs="Arial" w:eastAsia="Arial" w:hAnsi="Arial"/>
          <w:sz w:val="22"/>
          <w:szCs w:val="22"/>
          <w:color w:val="auto"/>
        </w:rPr>
        <w:t>") under section 931 of the ITA which relates to the payment and that Lender has received from the Relevant Obligor making the payment or from the Company a certified copy of that Direction; and</w:t>
      </w:r>
    </w:p>
    <w:p>
      <w:pPr>
        <w:spacing w:after="0" w:line="182" w:lineRule="exact"/>
        <w:rPr>
          <w:rFonts w:ascii="Arial" w:cs="Arial" w:eastAsia="Arial" w:hAnsi="Arial"/>
          <w:sz w:val="22"/>
          <w:szCs w:val="22"/>
          <w:color w:val="010000"/>
        </w:rPr>
      </w:pPr>
    </w:p>
    <w:p>
      <w:pPr>
        <w:ind w:left="980" w:hanging="324"/>
        <w:spacing w:after="0"/>
        <w:tabs>
          <w:tab w:leader="none" w:pos="980" w:val="left"/>
        </w:tabs>
        <w:numPr>
          <w:ilvl w:val="1"/>
          <w:numId w:val="124"/>
        </w:numPr>
        <w:rPr>
          <w:rFonts w:ascii="Arial" w:cs="Arial" w:eastAsia="Arial" w:hAnsi="Arial"/>
          <w:sz w:val="19"/>
          <w:szCs w:val="19"/>
          <w:color w:val="010000"/>
        </w:rPr>
      </w:pPr>
      <w:r>
        <w:rPr>
          <w:rFonts w:ascii="Arial" w:cs="Arial" w:eastAsia="Arial" w:hAnsi="Arial"/>
          <w:sz w:val="19"/>
          <w:szCs w:val="19"/>
          <w:color w:val="auto"/>
        </w:rPr>
        <w:t>the payment could have been made to the Lender without any Tax Deduction if that Direction had not been made; or</w:t>
      </w:r>
    </w:p>
    <w:p>
      <w:pPr>
        <w:spacing w:after="0" w:line="254" w:lineRule="exact"/>
        <w:rPr>
          <w:rFonts w:ascii="Arial" w:cs="Arial" w:eastAsia="Arial" w:hAnsi="Arial"/>
          <w:sz w:val="19"/>
          <w:szCs w:val="19"/>
          <w:color w:val="010000"/>
        </w:rPr>
      </w:pPr>
    </w:p>
    <w:p>
      <w:pPr>
        <w:ind w:left="300" w:hanging="292"/>
        <w:spacing w:after="0"/>
        <w:tabs>
          <w:tab w:leader="none" w:pos="3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relevant Lender is a Qualifying Lender solely by virtue of paragraph (a)(ii) of the definition of Qualifying Lender and:</w:t>
      </w:r>
    </w:p>
    <w:p>
      <w:pPr>
        <w:spacing w:after="0" w:line="231" w:lineRule="exact"/>
        <w:rPr>
          <w:rFonts w:ascii="Arial" w:cs="Arial" w:eastAsia="Arial" w:hAnsi="Arial"/>
          <w:sz w:val="21"/>
          <w:szCs w:val="21"/>
          <w:color w:val="auto"/>
        </w:rPr>
      </w:pPr>
    </w:p>
    <w:p>
      <w:pPr>
        <w:ind w:left="920" w:hanging="264"/>
        <w:spacing w:after="0"/>
        <w:tabs>
          <w:tab w:leader="none" w:pos="920" w:val="left"/>
        </w:tabs>
        <w:numPr>
          <w:ilvl w:val="1"/>
          <w:numId w:val="124"/>
        </w:numPr>
        <w:rPr>
          <w:rFonts w:ascii="Arial" w:cs="Arial" w:eastAsia="Arial" w:hAnsi="Arial"/>
          <w:sz w:val="22"/>
          <w:szCs w:val="22"/>
          <w:color w:val="010000"/>
        </w:rPr>
      </w:pPr>
      <w:r>
        <w:rPr>
          <w:rFonts w:ascii="Arial" w:cs="Arial" w:eastAsia="Arial" w:hAnsi="Arial"/>
          <w:sz w:val="22"/>
          <w:szCs w:val="22"/>
          <w:color w:val="auto"/>
        </w:rPr>
        <w:t>the relevant Lender has not given a Tax Confirmation to the Company; and</w:t>
      </w:r>
    </w:p>
    <w:p>
      <w:pPr>
        <w:sectPr>
          <w:pgSz w:w="11900" w:h="16838" w:orient="portrait"/>
          <w:cols w:equalWidth="0" w:num="1">
            <w:col w:w="11420"/>
          </w:cols>
          <w:pgMar w:left="240" w:top="1422" w:right="239" w:bottom="1440" w:gutter="0" w:footer="0" w:header="0"/>
        </w:sectPr>
      </w:pPr>
    </w:p>
    <w:bookmarkStart w:id="159" w:name="page160"/>
    <w:bookmarkEnd w:id="159"/>
    <w:p>
      <w:pPr>
        <w:ind w:left="1300" w:hanging="644"/>
        <w:spacing w:after="0" w:line="250" w:lineRule="auto"/>
        <w:tabs>
          <w:tab w:leader="none" w:pos="1024" w:val="left"/>
        </w:tabs>
        <w:numPr>
          <w:ilvl w:val="1"/>
          <w:numId w:val="125"/>
        </w:numPr>
        <w:rPr>
          <w:rFonts w:ascii="Arial" w:cs="Arial" w:eastAsia="Arial" w:hAnsi="Arial"/>
          <w:sz w:val="22"/>
          <w:szCs w:val="22"/>
          <w:color w:val="010000"/>
        </w:rPr>
      </w:pPr>
      <w:r>
        <w:rPr>
          <w:rFonts w:ascii="Arial" w:cs="Arial" w:eastAsia="Arial" w:hAnsi="Arial"/>
          <w:sz w:val="22"/>
          <w:szCs w:val="22"/>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w:t>
      </w:r>
      <w:r>
        <w:rPr>
          <w:rFonts w:ascii="Arial" w:cs="Arial" w:eastAsia="Arial" w:hAnsi="Arial"/>
          <w:sz w:val="22"/>
          <w:szCs w:val="22"/>
          <w:b w:val="1"/>
          <w:bCs w:val="1"/>
          <w:color w:val="auto"/>
        </w:rPr>
        <w:t>excepted payment</w:t>
      </w:r>
      <w:r>
        <w:rPr>
          <w:rFonts w:ascii="Arial" w:cs="Arial" w:eastAsia="Arial" w:hAnsi="Arial"/>
          <w:sz w:val="22"/>
          <w:szCs w:val="22"/>
          <w:color w:val="auto"/>
        </w:rPr>
        <w:t>" for the purpose of section 930 of the ITA; or</w:t>
      </w:r>
    </w:p>
    <w:p>
      <w:pPr>
        <w:spacing w:after="0" w:line="188" w:lineRule="exact"/>
        <w:rPr>
          <w:rFonts w:ascii="Arial" w:cs="Arial" w:eastAsia="Arial" w:hAnsi="Arial"/>
          <w:sz w:val="22"/>
          <w:szCs w:val="22"/>
          <w:color w:val="010000"/>
        </w:rPr>
      </w:pPr>
    </w:p>
    <w:p>
      <w:pPr>
        <w:ind w:left="660" w:hanging="652"/>
        <w:spacing w:after="0" w:line="253" w:lineRule="auto"/>
        <w:tabs>
          <w:tab w:leader="none" w:pos="33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relevant Lender is a Treaty Lender and the Relevant Obligor making the payment is able to demonstrate that the payment could have been made to the Lender without the Tax Deduction had that Lender complied with its obligations under paragraph 2.7 below.</w:t>
      </w:r>
    </w:p>
    <w:p>
      <w:pPr>
        <w:spacing w:after="0" w:line="186"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010000"/>
        </w:rPr>
        <w:t xml:space="preserve">2.5 </w:t>
      </w:r>
      <w:r>
        <w:rPr>
          <w:rFonts w:ascii="Arial" w:cs="Arial" w:eastAsia="Arial" w:hAnsi="Arial"/>
          <w:sz w:val="19"/>
          <w:szCs w:val="19"/>
          <w:color w:val="000000"/>
        </w:rPr>
        <w:t>If a Relevant Obligor is required to make a Tax Deduction, that Relevant Obligor shall make that Tax Deduction and any</w:t>
      </w:r>
      <w:r>
        <w:rPr>
          <w:rFonts w:ascii="Arial" w:cs="Arial" w:eastAsia="Arial" w:hAnsi="Arial"/>
          <w:sz w:val="19"/>
          <w:szCs w:val="19"/>
          <w:color w:val="010000"/>
        </w:rPr>
        <w:t xml:space="preserve"> </w:t>
      </w:r>
      <w:r>
        <w:rPr>
          <w:rFonts w:ascii="Arial" w:cs="Arial" w:eastAsia="Arial" w:hAnsi="Arial"/>
          <w:sz w:val="19"/>
          <w:szCs w:val="19"/>
          <w:color w:val="000000"/>
        </w:rPr>
        <w:t>payment required in connection with that Tax Deduction within the time allowed and in the minimum amount required by law.</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010000"/>
        </w:rPr>
        <w:t xml:space="preserve">2.6 </w:t>
      </w:r>
      <w:r>
        <w:rPr>
          <w:rFonts w:ascii="Arial" w:cs="Arial" w:eastAsia="Arial" w:hAnsi="Arial"/>
          <w:sz w:val="21"/>
          <w:szCs w:val="21"/>
          <w:color w:val="000000"/>
        </w:rPr>
        <w:t>Within thirty days of making either a Tax Deduction or any payment required in connection with that Tax Deduction, the</w:t>
      </w:r>
      <w:r>
        <w:rPr>
          <w:rFonts w:ascii="Arial" w:cs="Arial" w:eastAsia="Arial" w:hAnsi="Arial"/>
          <w:sz w:val="21"/>
          <w:szCs w:val="21"/>
          <w:color w:val="010000"/>
        </w:rPr>
        <w:t xml:space="preserve"> </w:t>
      </w:r>
      <w:r>
        <w:rPr>
          <w:rFonts w:ascii="Arial" w:cs="Arial" w:eastAsia="Arial" w:hAnsi="Arial"/>
          <w:sz w:val="21"/>
          <w:szCs w:val="21"/>
          <w:color w:val="000000"/>
        </w:rPr>
        <w:t>Relevant Obligor making that Tax Deduction shall deliver to the Administrative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color w:val="000000"/>
        </w:rPr>
        <w:t>(a) Subject to paragraph (b) below, a Treaty Lender and each Relevant Obligor which makes a payment to which that Treaty</w:t>
      </w:r>
      <w:r>
        <w:rPr>
          <w:rFonts w:ascii="Arial" w:cs="Arial" w:eastAsia="Arial" w:hAnsi="Arial"/>
          <w:sz w:val="22"/>
          <w:szCs w:val="22"/>
          <w:color w:val="010000"/>
        </w:rPr>
        <w:t xml:space="preserve"> </w:t>
      </w:r>
      <w:r>
        <w:rPr>
          <w:rFonts w:ascii="Arial" w:cs="Arial" w:eastAsia="Arial" w:hAnsi="Arial"/>
          <w:sz w:val="22"/>
          <w:szCs w:val="22"/>
          <w:color w:val="000000"/>
        </w:rPr>
        <w:t>Lender is entitled shall co-operate in completing any procedural formalities necessary for that Relevant Obligor to obtain authorization to make that payment without a Tax Deduction.</w:t>
      </w:r>
    </w:p>
    <w:p>
      <w:pPr>
        <w:spacing w:after="0" w:line="186"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Nothing in paragraph (a) above shall require a Treaty Lender to:</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register under the HMRC DT Treaty Passport scheme;</w:t>
      </w:r>
    </w:p>
    <w:p>
      <w:pPr>
        <w:spacing w:after="0" w:line="219" w:lineRule="exact"/>
        <w:rPr>
          <w:rFonts w:ascii="Arial" w:cs="Arial" w:eastAsia="Arial" w:hAnsi="Arial"/>
          <w:sz w:val="22"/>
          <w:szCs w:val="22"/>
          <w:color w:val="010000"/>
        </w:rPr>
      </w:pPr>
    </w:p>
    <w:p>
      <w:pPr>
        <w:ind w:left="980" w:hanging="324"/>
        <w:spacing w:after="0"/>
        <w:tabs>
          <w:tab w:leader="none" w:pos="980" w:val="left"/>
        </w:tabs>
        <w:numPr>
          <w:ilvl w:val="1"/>
          <w:numId w:val="127"/>
        </w:numPr>
        <w:rPr>
          <w:rFonts w:ascii="Arial" w:cs="Arial" w:eastAsia="Arial" w:hAnsi="Arial"/>
          <w:sz w:val="19"/>
          <w:szCs w:val="19"/>
          <w:color w:val="010000"/>
        </w:rPr>
      </w:pPr>
      <w:r>
        <w:rPr>
          <w:rFonts w:ascii="Arial" w:cs="Arial" w:eastAsia="Arial" w:hAnsi="Arial"/>
          <w:sz w:val="19"/>
          <w:szCs w:val="19"/>
          <w:color w:val="auto"/>
        </w:rPr>
        <w:t>apply the HMRC DT Treaty Passport scheme to any of its obligations under this Agreement if it has so registered; or</w:t>
      </w:r>
    </w:p>
    <w:p>
      <w:pPr>
        <w:spacing w:after="0" w:line="254" w:lineRule="exact"/>
        <w:rPr>
          <w:rFonts w:ascii="Arial" w:cs="Arial" w:eastAsia="Arial" w:hAnsi="Arial"/>
          <w:sz w:val="19"/>
          <w:szCs w:val="19"/>
          <w:color w:val="010000"/>
        </w:rPr>
      </w:pPr>
    </w:p>
    <w:p>
      <w:pPr>
        <w:ind w:left="1300" w:hanging="644"/>
        <w:spacing w:after="0" w:line="312" w:lineRule="auto"/>
        <w:tabs>
          <w:tab w:leader="none" w:pos="1043" w:val="left"/>
        </w:tabs>
        <w:numPr>
          <w:ilvl w:val="1"/>
          <w:numId w:val="127"/>
        </w:numPr>
        <w:rPr>
          <w:rFonts w:ascii="Arial" w:cs="Arial" w:eastAsia="Arial" w:hAnsi="Arial"/>
          <w:sz w:val="19"/>
          <w:szCs w:val="19"/>
          <w:color w:val="010000"/>
        </w:rPr>
      </w:pPr>
      <w:r>
        <w:rPr>
          <w:rFonts w:ascii="Arial" w:cs="Arial" w:eastAsia="Arial" w:hAnsi="Arial"/>
          <w:sz w:val="19"/>
          <w:szCs w:val="19"/>
          <w:color w:val="auto"/>
        </w:rPr>
        <w:t>file Treaty forms if it has included an indication to the effect that it wishes the HMRC DT Treaty Passport scheme to apply to this Agreement in accordance with Clause 2.7(c) and the Relevant Obligor making that payment has not complied with its obligations under this Schedule in relation to the HMRC DT Treaty Passport scheme.</w:t>
      </w:r>
    </w:p>
    <w:p>
      <w:pPr>
        <w:spacing w:after="0" w:line="133" w:lineRule="exact"/>
        <w:rPr>
          <w:rFonts w:ascii="Arial" w:cs="Arial" w:eastAsia="Arial" w:hAnsi="Arial"/>
          <w:sz w:val="19"/>
          <w:szCs w:val="19"/>
          <w:color w:val="010000"/>
        </w:rPr>
      </w:pPr>
    </w:p>
    <w:p>
      <w:pPr>
        <w:ind w:left="660" w:hanging="652"/>
        <w:spacing w:after="0" w:line="297" w:lineRule="auto"/>
        <w:tabs>
          <w:tab w:leader="none" w:pos="31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Each Lender that is a Treaty Lender on the Closing Date and which holds a passport under the HMRC DT Treaty Passport scheme, and which wishes that scheme to apply to this Agreement, shall confirm that its scheme reference number and its jurisdiction of tax residence are those set opposite its name in Schedule 1.1B and having done so such Lender shall be under no obligation pursuant to paragraph (a) above and the Relevant Obligor shall file a duly completed form DTTP2 in respect of such Lender with HM Revenue &amp; Customs within 30 days of the date of this Agreement,</w:t>
      </w:r>
    </w:p>
    <w:p>
      <w:pPr>
        <w:sectPr>
          <w:pgSz w:w="11900" w:h="16838" w:orient="portrait"/>
          <w:cols w:equalWidth="0" w:num="1">
            <w:col w:w="11420"/>
          </w:cols>
          <w:pgMar w:left="240" w:top="1428" w:right="239" w:bottom="1440" w:gutter="0" w:footer="0" w:header="0"/>
        </w:sectPr>
      </w:pPr>
    </w:p>
    <w:bookmarkStart w:id="160" w:name="page161"/>
    <w:bookmarkEnd w:id="160"/>
    <w:p>
      <w:pPr>
        <w:ind w:left="660" w:right="20" w:hanging="652"/>
        <w:spacing w:after="0" w:line="263" w:lineRule="auto"/>
        <w:tabs>
          <w:tab w:leader="none" w:pos="33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a Lender has confirmed its scheme reference number and its jurisdiction of tax residence in accordance with paragraph (c) above; and:</w:t>
      </w:r>
    </w:p>
    <w:p>
      <w:pPr>
        <w:spacing w:after="0" w:line="174" w:lineRule="exact"/>
        <w:rPr>
          <w:rFonts w:ascii="Arial" w:cs="Arial" w:eastAsia="Arial" w:hAnsi="Arial"/>
          <w:sz w:val="22"/>
          <w:szCs w:val="22"/>
          <w:color w:val="auto"/>
        </w:rPr>
      </w:pPr>
    </w:p>
    <w:p>
      <w:pPr>
        <w:ind w:left="1300" w:hanging="644"/>
        <w:spacing w:after="0" w:line="263" w:lineRule="auto"/>
        <w:tabs>
          <w:tab w:leader="none" w:pos="91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 Borrower making a payment to that Lender has not filed a duly completed form DTTP2 with HMRC in respect of that Lender; or</w:t>
      </w:r>
    </w:p>
    <w:p>
      <w:pPr>
        <w:spacing w:after="0" w:line="174" w:lineRule="exact"/>
        <w:rPr>
          <w:rFonts w:ascii="Arial" w:cs="Arial" w:eastAsia="Arial" w:hAnsi="Arial"/>
          <w:sz w:val="22"/>
          <w:szCs w:val="22"/>
          <w:color w:val="auto"/>
        </w:rPr>
      </w:pPr>
    </w:p>
    <w:p>
      <w:pPr>
        <w:ind w:left="1300" w:hanging="644"/>
        <w:spacing w:after="0" w:line="263" w:lineRule="auto"/>
        <w:tabs>
          <w:tab w:leader="none" w:pos="98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 Borrower making a payment to that Lender has filed a duly completed form DTTP2 with HMRC in respect of that Lender but:</w:t>
      </w:r>
    </w:p>
    <w:p>
      <w:pPr>
        <w:spacing w:after="0" w:line="174" w:lineRule="exact"/>
        <w:rPr>
          <w:rFonts w:ascii="Arial" w:cs="Arial" w:eastAsia="Arial" w:hAnsi="Arial"/>
          <w:sz w:val="22"/>
          <w:szCs w:val="22"/>
          <w:color w:val="auto"/>
        </w:rPr>
      </w:pPr>
    </w:p>
    <w:p>
      <w:pPr>
        <w:ind w:left="1660" w:hanging="355"/>
        <w:spacing w:after="0"/>
        <w:tabs>
          <w:tab w:leader="none" w:pos="1660" w:val="left"/>
        </w:tabs>
        <w:numPr>
          <w:ilvl w:val="2"/>
          <w:numId w:val="128"/>
        </w:numPr>
        <w:rPr>
          <w:rFonts w:ascii="Arial" w:cs="Arial" w:eastAsia="Arial" w:hAnsi="Arial"/>
          <w:sz w:val="22"/>
          <w:szCs w:val="22"/>
          <w:color w:val="auto"/>
        </w:rPr>
      </w:pPr>
      <w:r>
        <w:rPr>
          <w:rFonts w:ascii="Arial" w:cs="Arial" w:eastAsia="Arial" w:hAnsi="Arial"/>
          <w:sz w:val="22"/>
          <w:szCs w:val="22"/>
          <w:color w:val="auto"/>
        </w:rPr>
        <w:t>that DTTP2 has been rejected by HM Revenue &amp; Customs; or</w:t>
      </w:r>
    </w:p>
    <w:p>
      <w:pPr>
        <w:spacing w:after="0" w:line="219" w:lineRule="exact"/>
        <w:rPr>
          <w:rFonts w:ascii="Arial" w:cs="Arial" w:eastAsia="Arial" w:hAnsi="Arial"/>
          <w:sz w:val="22"/>
          <w:szCs w:val="22"/>
          <w:color w:val="auto"/>
        </w:rPr>
      </w:pPr>
    </w:p>
    <w:p>
      <w:pPr>
        <w:ind w:left="1960" w:hanging="655"/>
        <w:spacing w:after="0" w:line="263" w:lineRule="auto"/>
        <w:tabs>
          <w:tab w:leader="none" w:pos="1654" w:val="left"/>
        </w:tabs>
        <w:numPr>
          <w:ilvl w:val="2"/>
          <w:numId w:val="128"/>
        </w:numPr>
        <w:rPr>
          <w:rFonts w:ascii="Arial" w:cs="Arial" w:eastAsia="Arial" w:hAnsi="Arial"/>
          <w:sz w:val="22"/>
          <w:szCs w:val="22"/>
          <w:color w:val="auto"/>
        </w:rPr>
      </w:pPr>
      <w:r>
        <w:rPr>
          <w:rFonts w:ascii="Arial" w:cs="Arial" w:eastAsia="Arial" w:hAnsi="Arial"/>
          <w:sz w:val="22"/>
          <w:szCs w:val="22"/>
          <w:color w:val="auto"/>
        </w:rPr>
        <w:t>HM Revenue &amp; Customs has not given the Borrower authority to make payments to that Lender without a Tax Deduction within 60 days of the date on which the Borrower filed the form DTTP2,</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and in each case the Relevant Obligor has notified that Lender in writing, that Lender and Relevant Obligor shall co-operate in completing any additional procedural formalities necessary for that Relevant Obligor to obtain authorization to make that payment without a Tax Deduction.</w:t>
      </w:r>
    </w:p>
    <w:p>
      <w:pPr>
        <w:spacing w:after="0" w:line="213" w:lineRule="exact"/>
        <w:rPr>
          <w:sz w:val="20"/>
          <w:szCs w:val="20"/>
          <w:color w:val="auto"/>
        </w:rPr>
      </w:pPr>
    </w:p>
    <w:p>
      <w:pPr>
        <w:ind w:left="660" w:hanging="652"/>
        <w:spacing w:after="0" w:line="250" w:lineRule="auto"/>
        <w:tabs>
          <w:tab w:leader="none" w:pos="31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a Lender has not confirmed its HMRC DT Treaty Passport scheme reference number and jurisdiction of tax residence in accordance with paragraph (c) above, no Relevant Obligor shall file a form DTTP2 with HMRC or file any other form relating to the HMRC DT Treaty Passport scheme in respect of that Lender’s Commitment(s) or its participation in any Loan unless the Lender otherwise agrees.</w:t>
      </w:r>
    </w:p>
    <w:p>
      <w:pPr>
        <w:spacing w:after="0" w:line="188" w:lineRule="exact"/>
        <w:rPr>
          <w:rFonts w:ascii="Arial" w:cs="Arial" w:eastAsia="Arial" w:hAnsi="Arial"/>
          <w:sz w:val="22"/>
          <w:szCs w:val="22"/>
          <w:color w:val="auto"/>
        </w:rPr>
      </w:pPr>
    </w:p>
    <w:p>
      <w:pPr>
        <w:ind w:left="660" w:hanging="652"/>
        <w:spacing w:after="0" w:line="263" w:lineRule="auto"/>
        <w:tabs>
          <w:tab w:leader="none" w:pos="28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Relevant Obligor shall, promptly on filing a Form DTTP2 in respect of a Lender, deliver a copy of that form DTTP2 to the Administrative Agent for delivery to the relevant Lender.</w:t>
      </w:r>
    </w:p>
    <w:p>
      <w:pPr>
        <w:spacing w:after="0" w:line="175" w:lineRule="exact"/>
        <w:rPr>
          <w:sz w:val="20"/>
          <w:szCs w:val="20"/>
          <w:color w:val="auto"/>
        </w:rPr>
      </w:pPr>
    </w:p>
    <w:p>
      <w:pPr>
        <w:ind w:left="220" w:hanging="212"/>
        <w:spacing w:after="0"/>
        <w:tabs>
          <w:tab w:leader="none" w:pos="220" w:val="left"/>
        </w:tabs>
        <w:numPr>
          <w:ilvl w:val="0"/>
          <w:numId w:val="130"/>
        </w:numPr>
        <w:rPr>
          <w:rFonts w:ascii="Arial" w:cs="Arial" w:eastAsia="Arial" w:hAnsi="Arial"/>
          <w:sz w:val="22"/>
          <w:szCs w:val="22"/>
          <w:b w:val="1"/>
          <w:bCs w:val="1"/>
          <w:color w:val="010000"/>
        </w:rPr>
      </w:pPr>
      <w:r>
        <w:rPr>
          <w:rFonts w:ascii="Arial" w:cs="Arial" w:eastAsia="Arial" w:hAnsi="Arial"/>
          <w:sz w:val="22"/>
          <w:szCs w:val="22"/>
          <w:u w:val="single" w:color="auto"/>
          <w:color w:val="auto"/>
        </w:rPr>
        <w:t>Tax indemnity</w:t>
      </w:r>
    </w:p>
    <w:p>
      <w:pPr>
        <w:spacing w:after="0" w:line="220"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color w:val="000000"/>
        </w:rPr>
        <w:t>The Company shall (within three Business Days of demand by the Administrative Agent) pay to a Protected Party an amount</w:t>
      </w:r>
      <w:r>
        <w:rPr>
          <w:rFonts w:ascii="Arial" w:cs="Arial" w:eastAsia="Arial" w:hAnsi="Arial"/>
          <w:sz w:val="21"/>
          <w:szCs w:val="21"/>
          <w:color w:val="010000"/>
        </w:rPr>
        <w:t xml:space="preserve"> </w:t>
      </w:r>
      <w:r>
        <w:rPr>
          <w:rFonts w:ascii="Arial" w:cs="Arial" w:eastAsia="Arial" w:hAnsi="Arial"/>
          <w:sz w:val="21"/>
          <w:szCs w:val="21"/>
          <w:color w:val="000000"/>
        </w:rPr>
        <w:t>equal to the loss, liability or cost which that Protected Party determines will be or has been (directly or indirectly) suffered for or on account of Tax by that Protected Party in respect of this Agreement or the other Loan Documents.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color w:val="000000"/>
        </w:rPr>
        <w:t>Paragraph 3.1 above shall not apply:</w:t>
      </w:r>
    </w:p>
    <w:p>
      <w:pPr>
        <w:spacing w:after="0" w:line="220" w:lineRule="exact"/>
        <w:rPr>
          <w:sz w:val="20"/>
          <w:szCs w:val="20"/>
          <w:color w:val="auto"/>
        </w:rPr>
      </w:pPr>
    </w:p>
    <w:p>
      <w:pPr>
        <w:ind w:left="300" w:hanging="292"/>
        <w:spacing w:after="0"/>
        <w:tabs>
          <w:tab w:leader="none" w:pos="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with respect to any Tax assessed on a Finance Party:</w:t>
      </w:r>
    </w:p>
    <w:p>
      <w:pPr>
        <w:spacing w:after="0" w:line="219" w:lineRule="exact"/>
        <w:rPr>
          <w:rFonts w:ascii="Arial" w:cs="Arial" w:eastAsia="Arial" w:hAnsi="Arial"/>
          <w:sz w:val="22"/>
          <w:szCs w:val="22"/>
          <w:color w:val="auto"/>
        </w:rPr>
      </w:pPr>
    </w:p>
    <w:p>
      <w:pPr>
        <w:ind w:left="1300" w:hanging="644"/>
        <w:spacing w:after="0" w:line="263" w:lineRule="auto"/>
        <w:tabs>
          <w:tab w:leader="none" w:pos="950"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under the law of the jurisdiction in which that Finance Party is incorporated or, if different, the jurisdiction (or jurisdictions) in which that Finance Party is treated as resident for tax purposes; or</w:t>
      </w:r>
    </w:p>
    <w:p>
      <w:pPr>
        <w:spacing w:after="0" w:line="174" w:lineRule="exact"/>
        <w:rPr>
          <w:rFonts w:ascii="Arial" w:cs="Arial" w:eastAsia="Arial" w:hAnsi="Arial"/>
          <w:sz w:val="22"/>
          <w:szCs w:val="22"/>
          <w:color w:val="010000"/>
        </w:rPr>
      </w:pPr>
    </w:p>
    <w:p>
      <w:pPr>
        <w:ind w:left="1300" w:hanging="644"/>
        <w:spacing w:after="0" w:line="263" w:lineRule="auto"/>
        <w:tabs>
          <w:tab w:leader="none" w:pos="970"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under the law of the jurisdiction in which that Finance Party's Facility Office is located in respect of amounts received or receivable in that jurisdiction,</w:t>
      </w:r>
    </w:p>
    <w:p>
      <w:pPr>
        <w:sectPr>
          <w:pgSz w:w="11900" w:h="16838" w:orient="portrait"/>
          <w:cols w:equalWidth="0" w:num="1">
            <w:col w:w="11420"/>
          </w:cols>
          <w:pgMar w:left="240" w:top="1428" w:right="239" w:bottom="1440" w:gutter="0" w:footer="0" w:header="0"/>
        </w:sectPr>
      </w:pPr>
    </w:p>
    <w:bookmarkStart w:id="161" w:name="page162"/>
    <w:bookmarkEnd w:id="161"/>
    <w:p>
      <w:pPr>
        <w:ind w:right="20"/>
        <w:spacing w:after="0" w:line="263" w:lineRule="auto"/>
        <w:rPr>
          <w:sz w:val="20"/>
          <w:szCs w:val="20"/>
          <w:color w:val="auto"/>
        </w:rPr>
      </w:pPr>
      <w:r>
        <w:rPr>
          <w:rFonts w:ascii="Arial" w:cs="Arial" w:eastAsia="Arial" w:hAnsi="Arial"/>
          <w:sz w:val="22"/>
          <w:szCs w:val="22"/>
          <w:color w:val="auto"/>
        </w:rPr>
        <w:t>if that Tax is imposed on or calculated by reference to the net income received or receivable (but not any sum deemed to be received or receivable) by that Finance Party; or</w:t>
      </w:r>
    </w:p>
    <w:p>
      <w:pPr>
        <w:spacing w:after="0" w:line="175"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the extent a loss, liability or cost:</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is compensated for by an increased payment under Clause 2 (</w:t>
      </w:r>
      <w:r>
        <w:rPr>
          <w:rFonts w:ascii="Arial" w:cs="Arial" w:eastAsia="Arial" w:hAnsi="Arial"/>
          <w:sz w:val="22"/>
          <w:szCs w:val="22"/>
          <w:i w:val="1"/>
          <w:iCs w:val="1"/>
          <w:color w:val="auto"/>
        </w:rPr>
        <w:t>Tax gross-up</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644"/>
        <w:spacing w:after="0" w:line="263" w:lineRule="auto"/>
        <w:tabs>
          <w:tab w:leader="none" w:pos="97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would have been compensated for by an increased payment under Clause 2 (</w:t>
      </w:r>
      <w:r>
        <w:rPr>
          <w:rFonts w:ascii="Arial" w:cs="Arial" w:eastAsia="Arial" w:hAnsi="Arial"/>
          <w:sz w:val="22"/>
          <w:szCs w:val="22"/>
          <w:i w:val="1"/>
          <w:iCs w:val="1"/>
          <w:color w:val="auto"/>
        </w:rPr>
        <w:t>Tax gross-up</w:t>
      </w:r>
      <w:r>
        <w:rPr>
          <w:rFonts w:ascii="Arial" w:cs="Arial" w:eastAsia="Arial" w:hAnsi="Arial"/>
          <w:sz w:val="22"/>
          <w:szCs w:val="22"/>
          <w:color w:val="auto"/>
        </w:rPr>
        <w:t>) but was not so compensated solely because one of the exclusions in paragraph 2.4 applied; or</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is a FATCA Deduction.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color w:val="000000"/>
        </w:rPr>
        <w:t>A Protected Party making, or intending to make a claim under paragraph 3.1 above shall promptly notify the Administrative</w:t>
      </w:r>
      <w:r>
        <w:rPr>
          <w:rFonts w:ascii="Arial" w:cs="Arial" w:eastAsia="Arial" w:hAnsi="Arial"/>
          <w:sz w:val="22"/>
          <w:szCs w:val="22"/>
          <w:color w:val="010000"/>
        </w:rPr>
        <w:t xml:space="preserve"> </w:t>
      </w:r>
      <w:r>
        <w:rPr>
          <w:rFonts w:ascii="Arial" w:cs="Arial" w:eastAsia="Arial" w:hAnsi="Arial"/>
          <w:sz w:val="22"/>
          <w:szCs w:val="22"/>
          <w:color w:val="000000"/>
        </w:rPr>
        <w:t>Agent of the event which will give, or has given, rise to the claim, following which the Administrative Agent shall notify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color w:val="000000"/>
        </w:rPr>
        <w:t>A Protected Party shall, on receiving a payment from a Relevant Obligor under this Clause 3, notify the Administrative Agent.</w:t>
      </w:r>
    </w:p>
    <w:p>
      <w:pPr>
        <w:spacing w:after="0" w:line="254" w:lineRule="exact"/>
        <w:rPr>
          <w:sz w:val="20"/>
          <w:szCs w:val="20"/>
          <w:color w:val="auto"/>
        </w:rPr>
      </w:pPr>
    </w:p>
    <w:p>
      <w:pPr>
        <w:ind w:left="220" w:hanging="212"/>
        <w:spacing w:after="0"/>
        <w:tabs>
          <w:tab w:leader="none" w:pos="220" w:val="left"/>
        </w:tabs>
        <w:numPr>
          <w:ilvl w:val="0"/>
          <w:numId w:val="133"/>
        </w:numPr>
        <w:rPr>
          <w:rFonts w:ascii="Arial" w:cs="Arial" w:eastAsia="Arial" w:hAnsi="Arial"/>
          <w:sz w:val="22"/>
          <w:szCs w:val="22"/>
          <w:b w:val="1"/>
          <w:bCs w:val="1"/>
          <w:color w:val="010000"/>
        </w:rPr>
      </w:pPr>
      <w:r>
        <w:rPr>
          <w:rFonts w:ascii="Arial" w:cs="Arial" w:eastAsia="Arial" w:hAnsi="Arial"/>
          <w:sz w:val="22"/>
          <w:szCs w:val="22"/>
          <w:u w:val="single" w:color="auto"/>
          <w:color w:val="auto"/>
        </w:rPr>
        <w:t>Tax Credit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4.1 </w:t>
      </w:r>
      <w:r>
        <w:rPr>
          <w:rFonts w:ascii="Arial" w:cs="Arial" w:eastAsia="Arial" w:hAnsi="Arial"/>
          <w:sz w:val="22"/>
          <w:szCs w:val="22"/>
          <w:color w:val="000000"/>
        </w:rPr>
        <w:t>If a Relevant Obligor makes a Tax Payment and the relevant Finance Party determines that:</w:t>
      </w:r>
    </w:p>
    <w:p>
      <w:pPr>
        <w:spacing w:after="0" w:line="220" w:lineRule="exact"/>
        <w:rPr>
          <w:sz w:val="20"/>
          <w:szCs w:val="20"/>
          <w:color w:val="auto"/>
        </w:rPr>
      </w:pPr>
    </w:p>
    <w:p>
      <w:pPr>
        <w:ind w:left="300" w:hanging="292"/>
        <w:spacing w:after="0"/>
        <w:tabs>
          <w:tab w:leader="none" w:pos="3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Tax Credit is attributable either to an increased payment of which that Tax Payment forms part or to that Tax Payment; and</w:t>
      </w:r>
    </w:p>
    <w:p>
      <w:pPr>
        <w:spacing w:after="0" w:line="254" w:lineRule="exact"/>
        <w:rPr>
          <w:rFonts w:ascii="Arial" w:cs="Arial" w:eastAsia="Arial" w:hAnsi="Arial"/>
          <w:sz w:val="19"/>
          <w:szCs w:val="19"/>
          <w:color w:val="auto"/>
        </w:rPr>
      </w:pPr>
    </w:p>
    <w:p>
      <w:pPr>
        <w:ind w:left="320" w:hanging="312"/>
        <w:spacing w:after="0"/>
        <w:tabs>
          <w:tab w:leader="none" w:pos="3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that Finance Party has obtained, utilised and retained that Tax Credit,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Finance Party shall pay an amount to the Relevant Obligor which that Finance Party determines will leave it (after that payment) in the same after-Tax position as it would have been in had the Tax Payment not been required to be made by the Relevant Obligor.</w:t>
      </w:r>
    </w:p>
    <w:p>
      <w:pPr>
        <w:spacing w:after="0" w:line="186" w:lineRule="exact"/>
        <w:rPr>
          <w:sz w:val="20"/>
          <w:szCs w:val="20"/>
          <w:color w:val="auto"/>
        </w:rPr>
      </w:pPr>
    </w:p>
    <w:p>
      <w:pPr>
        <w:ind w:left="220" w:hanging="212"/>
        <w:spacing w:after="0"/>
        <w:tabs>
          <w:tab w:leader="none" w:pos="220" w:val="left"/>
        </w:tabs>
        <w:numPr>
          <w:ilvl w:val="0"/>
          <w:numId w:val="135"/>
        </w:numPr>
        <w:rPr>
          <w:rFonts w:ascii="Arial" w:cs="Arial" w:eastAsia="Arial" w:hAnsi="Arial"/>
          <w:sz w:val="22"/>
          <w:szCs w:val="22"/>
          <w:b w:val="1"/>
          <w:bCs w:val="1"/>
          <w:color w:val="010000"/>
        </w:rPr>
      </w:pPr>
      <w:r>
        <w:rPr>
          <w:rFonts w:ascii="Arial" w:cs="Arial" w:eastAsia="Arial" w:hAnsi="Arial"/>
          <w:sz w:val="22"/>
          <w:szCs w:val="22"/>
          <w:u w:val="single" w:color="auto"/>
          <w:color w:val="auto"/>
        </w:rPr>
        <w:t>Lender Status Confirmation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color w:val="000000"/>
        </w:rPr>
        <w:t>Each Lender which becomes a party to this Agreement after the date of this Agreement shall indicate, in the Commitment</w:t>
      </w:r>
      <w:r>
        <w:rPr>
          <w:rFonts w:ascii="Arial" w:cs="Arial" w:eastAsia="Arial" w:hAnsi="Arial"/>
          <w:sz w:val="22"/>
          <w:szCs w:val="22"/>
          <w:color w:val="010000"/>
        </w:rPr>
        <w:t xml:space="preserve"> </w:t>
      </w:r>
      <w:r>
        <w:rPr>
          <w:rFonts w:ascii="Arial" w:cs="Arial" w:eastAsia="Arial" w:hAnsi="Arial"/>
          <w:sz w:val="22"/>
          <w:szCs w:val="22"/>
          <w:color w:val="000000"/>
        </w:rPr>
        <w:t>Transfer Supplement which it executes on becoming a party to this Agreement, and for the benefit of the Administrative Agent and without liability to any Relevant Obligor, which of the following categories it falls in:</w:t>
      </w:r>
    </w:p>
    <w:p>
      <w:pPr>
        <w:spacing w:after="0" w:line="186"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 a Qualifying Lender;</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Qualifying Lender (other than a Treaty Lender); or</w:t>
      </w:r>
    </w:p>
    <w:p>
      <w:pPr>
        <w:spacing w:after="0" w:line="219" w:lineRule="exact"/>
        <w:rPr>
          <w:rFonts w:ascii="Arial" w:cs="Arial" w:eastAsia="Arial" w:hAnsi="Arial"/>
          <w:sz w:val="22"/>
          <w:szCs w:val="22"/>
          <w:color w:val="auto"/>
        </w:rPr>
      </w:pPr>
    </w:p>
    <w:p>
      <w:pPr>
        <w:ind w:left="300" w:hanging="292"/>
        <w:spacing w:after="0"/>
        <w:tabs>
          <w:tab w:leader="none" w:pos="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Treaty Lender.</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color w:val="000000"/>
        </w:rPr>
        <w:t>If a New Lender fails to indicate its status in accordance with this Clause 5 then such New Lender shall be treated for the</w:t>
      </w:r>
      <w:r>
        <w:rPr>
          <w:rFonts w:ascii="Arial" w:cs="Arial" w:eastAsia="Arial" w:hAnsi="Arial"/>
          <w:sz w:val="22"/>
          <w:szCs w:val="22"/>
          <w:color w:val="010000"/>
        </w:rPr>
        <w:t xml:space="preserve"> </w:t>
      </w:r>
      <w:r>
        <w:rPr>
          <w:rFonts w:ascii="Arial" w:cs="Arial" w:eastAsia="Arial" w:hAnsi="Arial"/>
          <w:sz w:val="22"/>
          <w:szCs w:val="22"/>
          <w:color w:val="000000"/>
        </w:rPr>
        <w:t>purposes of this Agreement (including by each Relevant</w:t>
      </w:r>
    </w:p>
    <w:p>
      <w:pPr>
        <w:sectPr>
          <w:pgSz w:w="11900" w:h="16838" w:orient="portrait"/>
          <w:cols w:equalWidth="0" w:num="1">
            <w:col w:w="11420"/>
          </w:cols>
          <w:pgMar w:left="240" w:top="1428" w:right="239" w:bottom="1440" w:gutter="0" w:footer="0" w:header="0"/>
        </w:sectPr>
      </w:pPr>
    </w:p>
    <w:bookmarkStart w:id="162" w:name="page163"/>
    <w:bookmarkEnd w:id="162"/>
    <w:p>
      <w:pPr>
        <w:jc w:val="both"/>
        <w:spacing w:after="0" w:line="271" w:lineRule="auto"/>
        <w:rPr>
          <w:sz w:val="20"/>
          <w:szCs w:val="20"/>
          <w:color w:val="auto"/>
        </w:rPr>
      </w:pPr>
      <w:r>
        <w:rPr>
          <w:rFonts w:ascii="Arial" w:cs="Arial" w:eastAsia="Arial" w:hAnsi="Arial"/>
          <w:sz w:val="21"/>
          <w:szCs w:val="21"/>
          <w:color w:val="auto"/>
        </w:rPr>
        <w:t>Obligor) as if it is not a Qualifying Lender until such time as it notifies the Administrative Agent which category applies (and the Administrative Agent, upon receipt of such notification, shall inform the Company). For the avoidance of doubt, a Commitment Transfer Supplement shall not be invalidated by any failure of a Lender to comply with this Clause 5.</w:t>
      </w:r>
    </w:p>
    <w:p>
      <w:pPr>
        <w:spacing w:after="0" w:line="168" w:lineRule="exact"/>
        <w:rPr>
          <w:sz w:val="20"/>
          <w:szCs w:val="20"/>
          <w:color w:val="auto"/>
        </w:rPr>
      </w:pPr>
    </w:p>
    <w:p>
      <w:pPr>
        <w:ind w:left="220" w:hanging="212"/>
        <w:spacing w:after="0"/>
        <w:tabs>
          <w:tab w:leader="none" w:pos="220" w:val="left"/>
        </w:tabs>
        <w:numPr>
          <w:ilvl w:val="0"/>
          <w:numId w:val="137"/>
        </w:numPr>
        <w:rPr>
          <w:rFonts w:ascii="Arial" w:cs="Arial" w:eastAsia="Arial" w:hAnsi="Arial"/>
          <w:sz w:val="22"/>
          <w:szCs w:val="22"/>
          <w:b w:val="1"/>
          <w:bCs w:val="1"/>
          <w:color w:val="010000"/>
        </w:rPr>
      </w:pPr>
      <w:r>
        <w:rPr>
          <w:rFonts w:ascii="Arial" w:cs="Arial" w:eastAsia="Arial" w:hAnsi="Arial"/>
          <w:sz w:val="22"/>
          <w:szCs w:val="22"/>
          <w:u w:val="single" w:color="auto"/>
          <w:color w:val="auto"/>
        </w:rPr>
        <w:t>HMRC DT Treaty Passport scheme confirmation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color w:val="000000"/>
        </w:rPr>
        <w:t>A New Lender that is a Treaty Lender that holds a passport under the HMRC DT Treaty Passport scheme, and which wishes</w:t>
      </w:r>
      <w:r>
        <w:rPr>
          <w:rFonts w:ascii="Arial" w:cs="Arial" w:eastAsia="Arial" w:hAnsi="Arial"/>
          <w:sz w:val="19"/>
          <w:szCs w:val="19"/>
          <w:color w:val="010000"/>
        </w:rPr>
        <w:t xml:space="preserve"> </w:t>
      </w:r>
      <w:r>
        <w:rPr>
          <w:rFonts w:ascii="Arial" w:cs="Arial" w:eastAsia="Arial" w:hAnsi="Arial"/>
          <w:sz w:val="19"/>
          <w:szCs w:val="19"/>
          <w:color w:val="000000"/>
        </w:rPr>
        <w:t>that scheme to apply to this Agreement, shall include an indication to that effect (for the benefit of the Administrative Agent and without liability to any Relevant Obligor) in the Commitment Transfer Supplement which it executes by including its scheme reference number and its jurisdiction of tax residence in that Commitment Transfer Supplement.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010000"/>
        </w:rPr>
        <w:t xml:space="preserve">6.2 </w:t>
      </w:r>
      <w:r>
        <w:rPr>
          <w:rFonts w:ascii="Arial" w:cs="Arial" w:eastAsia="Arial" w:hAnsi="Arial"/>
          <w:sz w:val="22"/>
          <w:szCs w:val="22"/>
          <w:color w:val="000000"/>
        </w:rPr>
        <w:t>Where a New Lender includes the indication described in paragraph 6.1 above in the relevant Commitment Transfer</w:t>
      </w:r>
      <w:r>
        <w:rPr>
          <w:rFonts w:ascii="Arial" w:cs="Arial" w:eastAsia="Arial" w:hAnsi="Arial"/>
          <w:sz w:val="22"/>
          <w:szCs w:val="22"/>
          <w:color w:val="010000"/>
        </w:rPr>
        <w:t xml:space="preserve"> </w:t>
      </w:r>
      <w:r>
        <w:rPr>
          <w:rFonts w:ascii="Arial" w:cs="Arial" w:eastAsia="Arial" w:hAnsi="Arial"/>
          <w:sz w:val="22"/>
          <w:szCs w:val="22"/>
          <w:color w:val="000000"/>
        </w:rPr>
        <w:t>Supplement:</w:t>
      </w:r>
    </w:p>
    <w:p>
      <w:pPr>
        <w:spacing w:after="0" w:line="175" w:lineRule="exact"/>
        <w:rPr>
          <w:sz w:val="20"/>
          <w:szCs w:val="20"/>
          <w:color w:val="auto"/>
        </w:rPr>
      </w:pPr>
    </w:p>
    <w:p>
      <w:pPr>
        <w:ind w:left="660" w:hanging="652"/>
        <w:spacing w:after="0" w:line="265" w:lineRule="auto"/>
        <w:tabs>
          <w:tab w:leader="none" w:pos="31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each UK Borrower which is a party to this Agreement as a Borrower as at the relevant Transfer Effective Date shall, to the extent that that New Lender becomes a Lender under a facility made available to that Borrower pursuant to this Agreement, file a duly completed form DTTP2 in respect of such Lender with HM Revenue &amp; Customs within 30 days of that Transfer Effective Date and shall promptly provide the Lender with a copy of that filing; and</w:t>
      </w:r>
    </w:p>
    <w:p>
      <w:pPr>
        <w:spacing w:after="0" w:line="175" w:lineRule="exact"/>
        <w:rPr>
          <w:rFonts w:ascii="Arial" w:cs="Arial" w:eastAsia="Arial" w:hAnsi="Arial"/>
          <w:sz w:val="21"/>
          <w:szCs w:val="21"/>
          <w:color w:val="auto"/>
        </w:rPr>
      </w:pPr>
    </w:p>
    <w:p>
      <w:pPr>
        <w:ind w:left="660" w:hanging="652"/>
        <w:spacing w:after="0" w:line="265" w:lineRule="auto"/>
        <w:tabs>
          <w:tab w:leader="none" w:pos="33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each Additional UK Borrower which becomes an Additional Borrower after the relevant Transfer Effective Date shall, to the extent that that New Lender is a Lender under a facility made available to that Additional Borrower pursuant to this Agreement, file a duly completed form DTTP2 in respect of such Lender with HM Revenue &amp; Customs within 30 days of becoming an Additional Borrower and shall promptly provide the Lender with a copy of that filing.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6.3 </w:t>
      </w:r>
      <w:r>
        <w:rPr>
          <w:rFonts w:ascii="Arial" w:cs="Arial" w:eastAsia="Arial" w:hAnsi="Arial"/>
          <w:sz w:val="22"/>
          <w:szCs w:val="22"/>
          <w:color w:val="000000"/>
        </w:rPr>
        <w:t>If a New Lender has not included an indication to the effect that it wishes the HMRC DT Treaty Passport scheme to apply to</w:t>
      </w:r>
      <w:r>
        <w:rPr>
          <w:rFonts w:ascii="Arial" w:cs="Arial" w:eastAsia="Arial" w:hAnsi="Arial"/>
          <w:sz w:val="22"/>
          <w:szCs w:val="22"/>
          <w:color w:val="010000"/>
        </w:rPr>
        <w:t xml:space="preserve"> </w:t>
      </w:r>
      <w:r>
        <w:rPr>
          <w:rFonts w:ascii="Arial" w:cs="Arial" w:eastAsia="Arial" w:hAnsi="Arial"/>
          <w:sz w:val="22"/>
          <w:szCs w:val="22"/>
          <w:color w:val="000000"/>
        </w:rPr>
        <w:t>this Agreement in accordance with Clause 6.1, no Relevant Obligor shall file any form relating to the HMRC DT Treaty Passport scheme in respect of that Lender's obligation under this Agreement.</w:t>
      </w:r>
    </w:p>
    <w:p>
      <w:pPr>
        <w:spacing w:after="0" w:line="186"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22"/>
          <w:szCs w:val="22"/>
          <w:b w:val="1"/>
          <w:bCs w:val="1"/>
          <w:color w:val="010000"/>
        </w:rPr>
      </w:pPr>
      <w:r>
        <w:rPr>
          <w:rFonts w:ascii="Arial" w:cs="Arial" w:eastAsia="Arial" w:hAnsi="Arial"/>
          <w:sz w:val="22"/>
          <w:szCs w:val="22"/>
          <w:u w:val="single" w:color="auto"/>
          <w:color w:val="auto"/>
        </w:rPr>
        <w:t>Stamp taxes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shall pay and, within three Business Days of demand, indemnify each Finance Party against any cost, loss or liability that Finance Party incurs in relation to all stamp duty, registration and other similar Taxes payable in respect of this Agreement or the other Loan Documents.</w:t>
      </w:r>
    </w:p>
    <w:p>
      <w:pPr>
        <w:spacing w:after="0" w:line="186" w:lineRule="exact"/>
        <w:rPr>
          <w:sz w:val="20"/>
          <w:szCs w:val="20"/>
          <w:color w:val="auto"/>
        </w:rPr>
      </w:pPr>
    </w:p>
    <w:p>
      <w:pPr>
        <w:ind w:left="220" w:hanging="212"/>
        <w:spacing w:after="0"/>
        <w:tabs>
          <w:tab w:leader="none" w:pos="220" w:val="left"/>
        </w:tabs>
        <w:numPr>
          <w:ilvl w:val="0"/>
          <w:numId w:val="140"/>
        </w:numPr>
        <w:rPr>
          <w:rFonts w:ascii="Arial" w:cs="Arial" w:eastAsia="Arial" w:hAnsi="Arial"/>
          <w:sz w:val="22"/>
          <w:szCs w:val="22"/>
          <w:b w:val="1"/>
          <w:bCs w:val="1"/>
          <w:color w:val="010000"/>
        </w:rPr>
      </w:pPr>
      <w:r>
        <w:rPr>
          <w:rFonts w:ascii="Arial" w:cs="Arial" w:eastAsia="Arial" w:hAnsi="Arial"/>
          <w:sz w:val="22"/>
          <w:szCs w:val="22"/>
          <w:u w:val="single" w:color="auto"/>
          <w:color w:val="auto"/>
        </w:rPr>
        <w:t>VAT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color w:val="000000"/>
        </w:rPr>
        <w:t>All amounts set out or expressed in this Agreement or the other Loan Documents to be payable by any party to this Agreement</w:t>
      </w:r>
      <w:r>
        <w:rPr>
          <w:rFonts w:ascii="Arial" w:cs="Arial" w:eastAsia="Arial" w:hAnsi="Arial"/>
          <w:sz w:val="22"/>
          <w:szCs w:val="22"/>
          <w:color w:val="010000"/>
        </w:rPr>
        <w:t xml:space="preserve"> </w:t>
      </w:r>
      <w:r>
        <w:rPr>
          <w:rFonts w:ascii="Arial" w:cs="Arial" w:eastAsia="Arial" w:hAnsi="Arial"/>
          <w:sz w:val="22"/>
          <w:szCs w:val="22"/>
          <w:color w:val="000000"/>
        </w:rPr>
        <w:t>to a Finance Party which (in whole or in part) constitute the consideration for a supply or supplies for VAT purposes shall be deemed to be exclusive of</w:t>
      </w:r>
    </w:p>
    <w:p>
      <w:pPr>
        <w:sectPr>
          <w:pgSz w:w="11900" w:h="16838" w:orient="portrait"/>
          <w:cols w:equalWidth="0" w:num="1">
            <w:col w:w="11420"/>
          </w:cols>
          <w:pgMar w:left="240" w:top="1428" w:right="239" w:bottom="1440" w:gutter="0" w:footer="0" w:header="0"/>
        </w:sectPr>
      </w:pPr>
    </w:p>
    <w:bookmarkStart w:id="163" w:name="page164"/>
    <w:bookmarkEnd w:id="163"/>
    <w:p>
      <w:pPr>
        <w:jc w:val="both"/>
        <w:spacing w:after="0" w:line="248" w:lineRule="auto"/>
        <w:rPr>
          <w:sz w:val="20"/>
          <w:szCs w:val="20"/>
          <w:color w:val="auto"/>
        </w:rPr>
      </w:pPr>
      <w:r>
        <w:rPr>
          <w:rFonts w:ascii="Arial" w:cs="Arial" w:eastAsia="Arial" w:hAnsi="Arial"/>
          <w:sz w:val="22"/>
          <w:szCs w:val="22"/>
          <w:color w:val="auto"/>
        </w:rPr>
        <w:t>any VAT which is chargeable on such supply or supplies, and accordingly, subject to paragraph 8.2 below, if VAT is or becomes chargeable on any supply made by any Finance Party to any other party to this Agreement under this Agreement or the other Loan Documents, that party shall pay to the Finance Party (in addition to and at the same time as paying any other consideration for such supply) an amount equal to the amount of such VAT (and such Finance Party shall promptly provide an appropriate VAT invoice to such party to this Agreement).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color w:val="000000"/>
        </w:rPr>
        <w:t>If VAT is or becomes chargeable on any supply made by any Finance Party (the "</w:t>
      </w:r>
      <w:r>
        <w:rPr>
          <w:rFonts w:ascii="Arial" w:cs="Arial" w:eastAsia="Arial" w:hAnsi="Arial"/>
          <w:sz w:val="22"/>
          <w:szCs w:val="22"/>
          <w:b w:val="1"/>
          <w:bCs w:val="1"/>
          <w:color w:val="000000"/>
        </w:rPr>
        <w:t>Supplier</w:t>
      </w:r>
      <w:r>
        <w:rPr>
          <w:rFonts w:ascii="Arial" w:cs="Arial" w:eastAsia="Arial" w:hAnsi="Arial"/>
          <w:sz w:val="22"/>
          <w:szCs w:val="22"/>
          <w:color w:val="000000"/>
        </w:rPr>
        <w:t>") to any other Finance Party (the</w:t>
      </w:r>
      <w:r>
        <w:rPr>
          <w:rFonts w:ascii="Arial" w:cs="Arial" w:eastAsia="Arial" w:hAnsi="Arial"/>
          <w:sz w:val="22"/>
          <w:szCs w:val="22"/>
          <w:color w:val="010000"/>
        </w:rPr>
        <w:t xml:space="preserve"> </w:t>
      </w:r>
      <w:r>
        <w:rPr>
          <w:rFonts w:ascii="Arial" w:cs="Arial" w:eastAsia="Arial" w:hAnsi="Arial"/>
          <w:sz w:val="22"/>
          <w:szCs w:val="22"/>
          <w:color w:val="000000"/>
        </w:rPr>
        <w:t>"</w:t>
      </w:r>
      <w:r>
        <w:rPr>
          <w:rFonts w:ascii="Arial" w:cs="Arial" w:eastAsia="Arial" w:hAnsi="Arial"/>
          <w:sz w:val="22"/>
          <w:szCs w:val="22"/>
          <w:b w:val="1"/>
          <w:bCs w:val="1"/>
          <w:color w:val="000000"/>
        </w:rPr>
        <w:t>Recipient</w:t>
      </w:r>
      <w:r>
        <w:rPr>
          <w:rFonts w:ascii="Arial" w:cs="Arial" w:eastAsia="Arial" w:hAnsi="Arial"/>
          <w:sz w:val="22"/>
          <w:szCs w:val="22"/>
          <w:color w:val="000000"/>
        </w:rPr>
        <w:t>") under this Agreement or the other Loan Documents, and any party to this Agreement other than the Recipient (the "</w:t>
      </w:r>
      <w:r>
        <w:rPr>
          <w:rFonts w:ascii="Arial" w:cs="Arial" w:eastAsia="Arial" w:hAnsi="Arial"/>
          <w:sz w:val="22"/>
          <w:szCs w:val="22"/>
          <w:b w:val="1"/>
          <w:bCs w:val="1"/>
          <w:color w:val="000000"/>
        </w:rPr>
        <w:t>Subject Party</w:t>
      </w:r>
      <w:r>
        <w:rPr>
          <w:rFonts w:ascii="Arial" w:cs="Arial" w:eastAsia="Arial" w:hAnsi="Arial"/>
          <w:sz w:val="22"/>
          <w:szCs w:val="22"/>
          <w:color w:val="000000"/>
        </w:rPr>
        <w:t>") is required by the terms of this Agreement or the other Loan Documents to pay an amount equal to the consideration for that supply to the Supplier (rather than being required to reimburse or indemnify the Recipient in respect of that consideration);</w:t>
      </w:r>
    </w:p>
    <w:p>
      <w:pPr>
        <w:spacing w:after="0" w:line="193" w:lineRule="exact"/>
        <w:rPr>
          <w:sz w:val="20"/>
          <w:szCs w:val="20"/>
          <w:color w:val="auto"/>
        </w:rPr>
      </w:pPr>
    </w:p>
    <w:p>
      <w:pPr>
        <w:ind w:left="1300" w:hanging="644"/>
        <w:spacing w:after="0" w:line="263" w:lineRule="auto"/>
        <w:tabs>
          <w:tab w:leader="none" w:pos="923"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(i) applies) promptly pay to the Subject Party an amount equal to any credit or repayment the Recipient receives from the relevant tax authority which the Recipient reasonably determines relates to the VAT chargeable on that supply; and</w:t>
      </w:r>
    </w:p>
    <w:p>
      <w:pPr>
        <w:spacing w:after="0" w:line="175" w:lineRule="exact"/>
        <w:rPr>
          <w:rFonts w:ascii="Arial" w:cs="Arial" w:eastAsia="Arial" w:hAnsi="Arial"/>
          <w:sz w:val="21"/>
          <w:szCs w:val="21"/>
          <w:color w:val="010000"/>
        </w:rPr>
      </w:pPr>
    </w:p>
    <w:p>
      <w:pPr>
        <w:ind w:left="1300" w:hanging="644"/>
        <w:spacing w:after="0" w:line="250" w:lineRule="auto"/>
        <w:tabs>
          <w:tab w:leader="none" w:pos="970"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color w:val="000000"/>
        </w:rPr>
        <w:t>Where this Agreement or the other Loan Documents require any party to this Agreement to reimburse or indemnify a Finance</w:t>
      </w:r>
      <w:r>
        <w:rPr>
          <w:rFonts w:ascii="Arial" w:cs="Arial" w:eastAsia="Arial" w:hAnsi="Arial"/>
          <w:sz w:val="19"/>
          <w:szCs w:val="19"/>
          <w:color w:val="010000"/>
        </w:rPr>
        <w:t xml:space="preserve"> </w:t>
      </w:r>
      <w:r>
        <w:rPr>
          <w:rFonts w:ascii="Arial" w:cs="Arial" w:eastAsia="Arial" w:hAnsi="Arial"/>
          <w:sz w:val="19"/>
          <w:szCs w:val="19"/>
          <w:color w:val="000000"/>
        </w:rPr>
        <w:t>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color w:val="000000"/>
        </w:rPr>
        <w:t>Any reference in this Clause 8 to any party to this Agreement shall, at any time when such party is treated as a member of a</w:t>
      </w:r>
      <w:r>
        <w:rPr>
          <w:rFonts w:ascii="Arial" w:cs="Arial" w:eastAsia="Arial" w:hAnsi="Arial"/>
          <w:sz w:val="22"/>
          <w:szCs w:val="22"/>
          <w:color w:val="010000"/>
        </w:rPr>
        <w:t xml:space="preserve"> </w:t>
      </w:r>
      <w:r>
        <w:rPr>
          <w:rFonts w:ascii="Arial" w:cs="Arial" w:eastAsia="Arial" w:hAnsi="Arial"/>
          <w:sz w:val="22"/>
          <w:szCs w:val="22"/>
          <w:color w:val="000000"/>
        </w:rPr>
        <w:t>group for VAT purposes, include (where appropriate and unless the context otherwise requires) a reference to the representative member of such group at such time (the term "</w:t>
      </w:r>
      <w:r>
        <w:rPr>
          <w:rFonts w:ascii="Arial" w:cs="Arial" w:eastAsia="Arial" w:hAnsi="Arial"/>
          <w:sz w:val="22"/>
          <w:szCs w:val="22"/>
          <w:b w:val="1"/>
          <w:bCs w:val="1"/>
          <w:color w:val="000000"/>
        </w:rPr>
        <w:t>representative member</w:t>
      </w:r>
      <w:r>
        <w:rPr>
          <w:rFonts w:ascii="Arial" w:cs="Arial" w:eastAsia="Arial" w:hAnsi="Arial"/>
          <w:sz w:val="22"/>
          <w:szCs w:val="22"/>
          <w:color w:val="000000"/>
        </w:rPr>
        <w:t>" to have the same meaning as in the Value Added Tax Act 1994).</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010000"/>
        </w:rPr>
        <w:t xml:space="preserve">8.5 </w:t>
      </w:r>
      <w:r>
        <w:rPr>
          <w:rFonts w:ascii="Arial" w:cs="Arial" w:eastAsia="Arial" w:hAnsi="Arial"/>
          <w:sz w:val="22"/>
          <w:szCs w:val="22"/>
          <w:color w:val="000000"/>
        </w:rPr>
        <w:t>In relation to any supply made by a Finance Party to any party to this Agreement under this Agreement or the other Loan</w:t>
      </w:r>
      <w:r>
        <w:rPr>
          <w:rFonts w:ascii="Arial" w:cs="Arial" w:eastAsia="Arial" w:hAnsi="Arial"/>
          <w:sz w:val="22"/>
          <w:szCs w:val="22"/>
          <w:color w:val="010000"/>
        </w:rPr>
        <w:t xml:space="preserve"> </w:t>
      </w:r>
      <w:r>
        <w:rPr>
          <w:rFonts w:ascii="Arial" w:cs="Arial" w:eastAsia="Arial" w:hAnsi="Arial"/>
          <w:sz w:val="22"/>
          <w:szCs w:val="22"/>
          <w:color w:val="000000"/>
        </w:rPr>
        <w:t>Documents,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ectPr>
          <w:pgSz w:w="11900" w:h="16838" w:orient="portrait"/>
          <w:cols w:equalWidth="0" w:num="1">
            <w:col w:w="11420"/>
          </w:cols>
          <w:pgMar w:left="240" w:top="1428"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574675</wp:posOffset>
            </wp:positionV>
            <wp:extent cx="205803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80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50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L.B. FOSTER COMPANY AMENDS CREDIT AGREEMENT</w:t>
      </w:r>
    </w:p>
    <w:p>
      <w:pPr>
        <w:spacing w:after="0" w:line="30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PITTSBURGH, PA, May 2, 2019 – L.B. Foster Company (NASDAQ: FSTR), a leading manufacturer and distributor of products and services for transportation and energy infrastructure, today announced that on April 30, 2019, it amended its revolving credit facility agreement to provide for a maturity date of April 30, 2024 and improve the interest rate spreads associated with the facility. Key elements to the amendment include:</w:t>
      </w:r>
    </w:p>
    <w:p>
      <w:pPr>
        <w:spacing w:after="0" w:line="212" w:lineRule="exact"/>
        <w:rPr>
          <w:sz w:val="20"/>
          <w:szCs w:val="20"/>
          <w:color w:val="auto"/>
        </w:rPr>
      </w:pPr>
    </w:p>
    <w:p>
      <w:pPr>
        <w:ind w:left="700" w:right="280" w:hanging="332"/>
        <w:spacing w:after="0" w:line="262"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facility was modified to $140 million in order to better align the facility with our anticipated needs as well as to reduce borrowing costs, and provides for incremental borrowings of up to $50 million.</w:t>
      </w:r>
    </w:p>
    <w:p>
      <w:pPr>
        <w:spacing w:after="0" w:line="223" w:lineRule="exact"/>
        <w:rPr>
          <w:rFonts w:ascii="Arial" w:cs="Arial" w:eastAsia="Arial" w:hAnsi="Arial"/>
          <w:sz w:val="18"/>
          <w:szCs w:val="18"/>
          <w:color w:val="auto"/>
        </w:rPr>
      </w:pPr>
    </w:p>
    <w:p>
      <w:pPr>
        <w:ind w:left="700" w:right="20" w:hanging="332"/>
        <w:spacing w:after="0" w:line="254"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obligations under the amendment will be secured by the grant of a security interest by the borrowers, certain Canadian and United Kingdom subsidiaries, and domestic guarantors in substantially all of the assets owned by such entities. Additionally, the equity interests in each of the loan parties, other than the Company, and the equity interests held by each loan party in their subsidiaries, shall be pledged to the lenders as collateral for the lending obligations.</w:t>
      </w:r>
    </w:p>
    <w:p>
      <w:pPr>
        <w:spacing w:after="0" w:line="231" w:lineRule="exact"/>
        <w:rPr>
          <w:rFonts w:ascii="Arial" w:cs="Arial" w:eastAsia="Arial" w:hAnsi="Arial"/>
          <w:sz w:val="18"/>
          <w:szCs w:val="18"/>
          <w:color w:val="auto"/>
        </w:rPr>
      </w:pPr>
    </w:p>
    <w:p>
      <w:pPr>
        <w:ind w:left="700" w:right="780" w:hanging="332"/>
        <w:spacing w:after="0" w:line="262"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are no restrictions on the amount of dividends, distributions and redemptions under the amended facility so long as the Company remains in compliance before and immediately after any such transactions.</w:t>
      </w:r>
    </w:p>
    <w:p>
      <w:pPr>
        <w:spacing w:after="0" w:line="223" w:lineRule="exact"/>
        <w:rPr>
          <w:rFonts w:ascii="Arial" w:cs="Arial" w:eastAsia="Arial" w:hAnsi="Arial"/>
          <w:sz w:val="18"/>
          <w:szCs w:val="18"/>
          <w:color w:val="auto"/>
        </w:rPr>
      </w:pPr>
    </w:p>
    <w:p>
      <w:pPr>
        <w:ind w:left="700" w:right="260" w:hanging="332"/>
        <w:spacing w:after="0" w:line="262"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Acquisitions will be permitted up to $50 million per acquisition and an aggregate purchase price of $100 million through the five year term of the amended facility.</w:t>
      </w:r>
    </w:p>
    <w:p>
      <w:pPr>
        <w:spacing w:after="0" w:line="2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James P. Maloney, Senior Vice President and Chief Financial Officer, said: “This revised credit agreement provides L.B. Foster with the capacity it needs to manage its day to day operations and to execute on business opportunities that benefit our shareholders. We are pleased with the amended interest rate pricing associated with the agreement which is favorable to the Company and is a result of our current financial strength and forward business outlook.”</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Company’s five bank group is led by PNC Bank, N.A. as Administrative Agent, with Bank of America N.A. and Wells Fargo Bank N.A. and Citizens Bank, N.A., as Co-Syndication Agents, and BMO Harris Bank, N.A. as a participant.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concerning the revolving credit facility can be found in the Current Report on Form 8-K filed by the Company.</w:t>
      </w:r>
    </w:p>
    <w:p>
      <w:pPr>
        <w:sectPr>
          <w:pgSz w:w="11900" w:h="16838" w:orient="portrait"/>
          <w:cols w:equalWidth="0" w:num="1">
            <w:col w:w="11420"/>
          </w:cols>
          <w:pgMar w:left="240" w:top="12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auto"/>
        </w:rPr>
        <w:t>About L.B. Foster Company</w:t>
      </w:r>
    </w:p>
    <w:p>
      <w:pPr>
        <w:spacing w:after="0" w:line="4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 xml:space="preserve">L.B. Foster is a leading manufacturer and distributor of products and services for transportation and energy infrastructure with locations in North America and Europe. For more information, please visit </w:t>
      </w:r>
      <w:r>
        <w:rPr>
          <w:rFonts w:ascii="Arial" w:cs="Arial" w:eastAsia="Arial" w:hAnsi="Arial"/>
          <w:sz w:val="18"/>
          <w:szCs w:val="18"/>
          <w:u w:val="single" w:color="auto"/>
          <w:color w:val="auto"/>
        </w:rPr>
        <w:t>www.lbfoster.com</w:t>
      </w:r>
      <w:r>
        <w:rPr>
          <w:rFonts w:ascii="Arial" w:cs="Arial" w:eastAsia="Arial" w:hAnsi="Arial"/>
          <w:sz w:val="18"/>
          <w:szCs w:val="18"/>
          <w:color w:val="auto"/>
        </w:rPr>
        <w:t>.</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release may contain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release are based on current expectations and assumptions about future events that</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involve inherent risks and uncertainties and may concern, among other things, L.B. Foster Company’s (the “Company’s”) expectations relating to our strategy, goals, projections, and plans regarding our financial position, liquidity, capital resources, and results of operations; the outcome of litigation and product warranty claims;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environmental matters, including any costs associated with any remediation and monitoring; a resumption of the economic slowdown we experienced in previous years in the markets we serve; the risk of doing business in international markets; our ability to effectuate our strategy, including cost reduction initiatives, and our ability to effectively integrate acquired businesses and realize anticipated benefits; costs of and impacts associated with shareholder activism; a decrease in freight or passenger rail traffic; the timeliness and availability of materials from our major suppliers as well as the impact on our access to supplies of customer preferences as to the origin of such supplies, such as customers' concerns about conflict minerals; labor disputes; the continuing effective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 new credit agreement; the Company’s ability to manage its working capital requirements and indebtedness; domestic and international taxes, including estimates that may impact these amounts; foreign currency fluctuations;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domestic and foreign government regulations, including tariffs; economic conditions and regulatory changes caused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Kingdom’s pending exit from the European Union, including the possibility of a “no-deal Brexit;” sustained declines in energy prices;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state or federal funding for new infrastructure projects; an increase in manufacturing or material costs; the loss of future revenues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customers; and risks inherent in litigation. Should one or more of these risks or uncertainties materialize, or should the assumptions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underlying the forward-looking statements prove incorrect, actual outcomes could vary materially from those indicated. Significant risks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that may affect the operations, performance, and results of the Company’s business and forward-looking statements include, but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are not limited to, those set forth under Item 1A, “Risk Factors,” and elsewhere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2018, or as updated and amended by Item 1A “Risk Factors,” in Part II of our Quarterly Reports on Form 10-Q filed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and Exchange Commission.</w:t>
      </w:r>
    </w:p>
    <w:p>
      <w:pPr>
        <w:spacing w:after="0" w:line="234" w:lineRule="exact"/>
        <w:rPr>
          <w:sz w:val="20"/>
          <w:szCs w:val="20"/>
          <w:color w:val="auto"/>
        </w:rPr>
      </w:pPr>
    </w:p>
    <w:p>
      <w:pPr>
        <w:jc w:val="both"/>
        <w:ind w:right="560"/>
        <w:spacing w:after="0" w:line="266" w:lineRule="auto"/>
        <w:rPr>
          <w:sz w:val="20"/>
          <w:szCs w:val="20"/>
          <w:color w:val="auto"/>
        </w:rPr>
      </w:pPr>
      <w:r>
        <w:rPr>
          <w:rFonts w:ascii="Arial" w:cs="Arial" w:eastAsia="Arial" w:hAnsi="Arial"/>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Judith Balog</w:t>
      </w:r>
    </w:p>
    <w:p>
      <w:pPr>
        <w:spacing w:after="0" w:line="9" w:lineRule="exact"/>
        <w:rPr>
          <w:sz w:val="20"/>
          <w:szCs w:val="20"/>
          <w:color w:val="auto"/>
        </w:rPr>
      </w:pPr>
    </w:p>
    <w:p>
      <w:pPr>
        <w:ind w:right="9520" w:firstLine="8"/>
        <w:spacing w:after="0" w:line="291" w:lineRule="auto"/>
        <w:tabs>
          <w:tab w:leader="none" w:pos="47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928-3417 investors@lbfoster.com</w:t>
      </w:r>
    </w:p>
    <w:sectPr>
      <w:pgSz w:w="11900" w:h="16838" w:orient="portrait"/>
      <w:cols w:equalWidth="0" w:num="1">
        <w:col w:w="11400"/>
      </w:cols>
      <w:pgMar w:left="240" w:top="9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1)"/>
      <w:numFmt w:val="upperLetter"/>
      <w:start w:val="1"/>
    </w:lvl>
  </w:abstractNum>
  <w:abstractNum w:abstractNumId="4">
    <w:nsid w:val="5DC79EA8"/>
    <w:multiLevelType w:val="hybridMultilevel"/>
    <w:lvl w:ilvl="0">
      <w:lvlJc w:val="left"/>
      <w:lvlText w:val="(%1)"/>
      <w:numFmt w:val="lowerRoman"/>
      <w:start w:val="3"/>
    </w:lvl>
    <w:lvl w:ilvl="1">
      <w:lvlJc w:val="left"/>
      <w:lvlText w:val="-"/>
      <w:numFmt w:val="bullet"/>
      <w:start w:val="1"/>
    </w:lvl>
  </w:abstractNum>
  <w:abstractNum w:abstractNumId="5">
    <w:nsid w:val="540A471C"/>
    <w:multiLevelType w:val="hybridMultilevel"/>
    <w:lvl w:ilvl="0">
      <w:lvlJc w:val="left"/>
      <w:lvlText w:val="(%1)"/>
      <w:numFmt w:val="lowerRoman"/>
      <w:start w:val="3"/>
    </w:lvl>
  </w:abstractNum>
  <w:abstractNum w:abstractNumId="6">
    <w:nsid w:val="7BD3EE7B"/>
    <w:multiLevelType w:val="hybridMultilevel"/>
    <w:lvl w:ilvl="0">
      <w:lvlJc w:val="left"/>
      <w:lvlText w:val="(%1)"/>
      <w:numFmt w:val="lowerRoman"/>
      <w:start w:val="3"/>
    </w:lvl>
  </w:abstractNum>
  <w:abstractNum w:abstractNumId="7">
    <w:nsid w:val="51D9C564"/>
    <w:multiLevelType w:val="hybridMultilevel"/>
    <w:lvl w:ilvl="0">
      <w:lvlJc w:val="left"/>
      <w:lvlText w:val="(%1)"/>
      <w:numFmt w:val="lowerLetter"/>
      <w:start w:val="1"/>
    </w:lvl>
    <w:lvl w:ilvl="1">
      <w:lvlJc w:val="left"/>
      <w:lvlText w:val="-"/>
      <w:numFmt w:val="bullet"/>
      <w:start w:val="1"/>
    </w:lvl>
  </w:abstractNum>
  <w:abstractNum w:abstractNumId="8">
    <w:nsid w:val="613EFDC5"/>
    <w:multiLevelType w:val="hybridMultilevel"/>
    <w:lvl w:ilvl="0">
      <w:lvlJc w:val="left"/>
      <w:lvlText w:val="(%1)"/>
      <w:numFmt w:val="lowerLetter"/>
      <w:start w:val="3"/>
    </w:lvl>
    <w:lvl w:ilvl="1">
      <w:lvlJc w:val="left"/>
      <w:lvlText w:val="-"/>
      <w:numFmt w:val="bullet"/>
      <w:start w:val="1"/>
    </w:lvl>
  </w:abstractNum>
  <w:abstractNum w:abstractNumId="9">
    <w:nsid w:val="BF72B14"/>
    <w:multiLevelType w:val="hybridMultilevel"/>
    <w:lvl w:ilvl="0">
      <w:lvlJc w:val="left"/>
      <w:lvlText w:val="(%1)"/>
      <w:numFmt w:val="lowerLetter"/>
      <w:start w:val="6"/>
    </w:lvl>
  </w:abstractNum>
  <w:abstractNum w:abstractNumId="10">
    <w:nsid w:val="11447B73"/>
    <w:multiLevelType w:val="hybridMultilevel"/>
    <w:lvl w:ilvl="0">
      <w:lvlJc w:val="left"/>
      <w:lvlText w:val="(%1)"/>
      <w:numFmt w:val="lowerLetter"/>
      <w:start w:val="2"/>
    </w:lvl>
  </w:abstractNum>
  <w:abstractNum w:abstractNumId="11">
    <w:nsid w:val="42963E5A"/>
    <w:multiLevelType w:val="hybridMultilevel"/>
    <w:lvl w:ilvl="0">
      <w:lvlJc w:val="left"/>
      <w:lvlText w:val="(%1)"/>
      <w:numFmt w:val="lowerLetter"/>
      <w:start w:val="4"/>
    </w:lvl>
  </w:abstractNum>
  <w:abstractNum w:abstractNumId="12">
    <w:nsid w:val="A0382C5"/>
    <w:multiLevelType w:val="hybridMultilevel"/>
    <w:lvl w:ilvl="0">
      <w:lvlJc w:val="left"/>
      <w:lvlText w:val="(%1)"/>
      <w:numFmt w:val="lowerRoman"/>
      <w:start w:val="1"/>
    </w:lvl>
  </w:abstractNum>
  <w:abstractNum w:abstractNumId="13">
    <w:nsid w:val="8F2B15E"/>
    <w:multiLevelType w:val="hybridMultilevel"/>
    <w:lvl w:ilvl="0">
      <w:lvlJc w:val="left"/>
      <w:lvlText w:val="(%1)"/>
      <w:numFmt w:val="lowerRoman"/>
      <w:start w:val="3"/>
    </w:lvl>
  </w:abstractNum>
  <w:abstractNum w:abstractNumId="14">
    <w:nsid w:val="1A32234B"/>
    <w:multiLevelType w:val="hybridMultilevel"/>
    <w:lvl w:ilvl="0">
      <w:lvlJc w:val="left"/>
      <w:lvlText w:val="(%1)"/>
      <w:numFmt w:val="lowerRoman"/>
      <w:start w:val="1"/>
    </w:lvl>
    <w:lvl w:ilvl="1">
      <w:lvlJc w:val="left"/>
      <w:lvlText w:val="-"/>
      <w:numFmt w:val="bullet"/>
      <w:start w:val="1"/>
    </w:lvl>
  </w:abstractNum>
  <w:abstractNum w:abstractNumId="15">
    <w:nsid w:val="3B0FD379"/>
    <w:multiLevelType w:val="hybridMultilevel"/>
    <w:lvl w:ilvl="0">
      <w:lvlJc w:val="left"/>
      <w:lvlText w:val="%1"/>
      <w:numFmt w:val="upperLetter"/>
      <w:start w:val="1"/>
    </w:lvl>
    <w:lvl w:ilvl="1">
      <w:lvlJc w:val="left"/>
      <w:lvlText w:val="(%2)"/>
      <w:numFmt w:val="lowerRoman"/>
      <w:start w:val="4"/>
    </w:lvl>
  </w:abstractNum>
  <w:abstractNum w:abstractNumId="16">
    <w:nsid w:val="68EB2F63"/>
    <w:multiLevelType w:val="hybridMultilevel"/>
    <w:lvl w:ilvl="0">
      <w:lvlJc w:val="left"/>
      <w:lvlText w:val="(%1)"/>
      <w:numFmt w:val="lowerRoman"/>
      <w:start w:val="1"/>
    </w:lvl>
    <w:lvl w:ilvl="1">
      <w:lvlJc w:val="left"/>
      <w:lvlText w:val="-"/>
      <w:numFmt w:val="bullet"/>
      <w:start w:val="1"/>
    </w:lvl>
  </w:abstractNum>
  <w:abstractNum w:abstractNumId="17">
    <w:nsid w:val="4962813B"/>
    <w:multiLevelType w:val="hybridMultilevel"/>
    <w:lvl w:ilvl="0">
      <w:lvlJc w:val="left"/>
      <w:lvlText w:val="(%1)"/>
      <w:numFmt w:val="lowerRoman"/>
      <w:start w:val="7"/>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1)"/>
      <w:numFmt w:val="lowerRoman"/>
      <w:start w:val="2"/>
    </w:lvl>
  </w:abstractNum>
  <w:abstractNum w:abstractNumId="20">
    <w:nsid w:val="14330624"/>
    <w:multiLevelType w:val="hybridMultilevel"/>
    <w:lvl w:ilvl="0">
      <w:lvlJc w:val="left"/>
      <w:lvlText w:val="(%1)"/>
      <w:numFmt w:val="lowerRoman"/>
      <w:start w:val="1"/>
    </w:lvl>
    <w:lvl w:ilvl="1">
      <w:lvlJc w:val="left"/>
      <w:lvlText w:val="-"/>
      <w:numFmt w:val="bullet"/>
      <w:start w:val="1"/>
    </w:lvl>
  </w:abstractNum>
  <w:abstractNum w:abstractNumId="21">
    <w:nsid w:val="7FFFCA11"/>
    <w:multiLevelType w:val="hybridMultilevel"/>
    <w:lvl w:ilvl="0">
      <w:lvlJc w:val="left"/>
      <w:lvlText w:val="%1"/>
      <w:numFmt w:val="lowerRoman"/>
      <w:start w:val="1"/>
    </w:lvl>
    <w:lvl w:ilvl="1">
      <w:lvlJc w:val="left"/>
      <w:lvlText w:val="(%2)"/>
      <w:numFmt w:val="lowerRoman"/>
      <w:start w:val="1"/>
    </w:lvl>
  </w:abstractNum>
  <w:abstractNum w:abstractNumId="22">
    <w:nsid w:val="1A27709E"/>
    <w:multiLevelType w:val="hybridMultilevel"/>
    <w:lvl w:ilvl="0">
      <w:lvlJc w:val="left"/>
      <w:lvlText w:val="(%1)"/>
      <w:numFmt w:val="lowerRoman"/>
      <w:start w:val="2"/>
    </w:lvl>
    <w:lvl w:ilvl="1">
      <w:lvlJc w:val="left"/>
      <w:lvlText w:val="%2"/>
      <w:numFmt w:val="lowerRoman"/>
      <w:start w:val="1"/>
    </w:lvl>
  </w:abstractNum>
  <w:abstractNum w:abstractNumId="23">
    <w:nsid w:val="71EA1109"/>
    <w:multiLevelType w:val="hybridMultilevel"/>
    <w:lvl w:ilvl="0">
      <w:lvlJc w:val="left"/>
      <w:lvlText w:val="%1."/>
      <w:numFmt w:val="decimal"/>
      <w:start w:val="2"/>
    </w:lvl>
  </w:abstractNum>
  <w:abstractNum w:abstractNumId="24">
    <w:nsid w:val="100F59DC"/>
    <w:multiLevelType w:val="hybridMultilevel"/>
    <w:lvl w:ilvl="0">
      <w:lvlJc w:val="left"/>
      <w:lvlText w:val="(%1)"/>
      <w:numFmt w:val="lowerRoman"/>
      <w:start w:val="2"/>
    </w:lvl>
  </w:abstractNum>
  <w:abstractNum w:abstractNumId="25">
    <w:nsid w:val="7FB7E0AA"/>
    <w:multiLevelType w:val="hybridMultilevel"/>
    <w:lvl w:ilvl="0">
      <w:lvlJc w:val="left"/>
      <w:lvlText w:val="(%1)"/>
      <w:numFmt w:val="lowerRoman"/>
      <w:start w:val="2"/>
    </w:lvl>
  </w:abstractNum>
  <w:abstractNum w:abstractNumId="26">
    <w:nsid w:val="6EB5BD4"/>
    <w:multiLevelType w:val="hybridMultilevel"/>
    <w:lvl w:ilvl="0">
      <w:lvlJc w:val="left"/>
      <w:lvlText w:val="(%1)"/>
      <w:numFmt w:val="lowerRoman"/>
      <w:start w:val="1"/>
    </w:lvl>
    <w:lvl w:ilvl="1">
      <w:lvlJc w:val="left"/>
      <w:lvlText w:val="-"/>
      <w:numFmt w:val="bullet"/>
      <w:start w:val="1"/>
    </w:lvl>
  </w:abstractNum>
  <w:abstractNum w:abstractNumId="27">
    <w:nsid w:val="6F6DD9AC"/>
    <w:multiLevelType w:val="hybridMultilevel"/>
    <w:lvl w:ilvl="0">
      <w:lvlJc w:val="left"/>
      <w:lvlText w:val="(%1)"/>
      <w:numFmt w:val="lowerRoman"/>
      <w:start w:val="3"/>
    </w:lvl>
    <w:lvl w:ilvl="1">
      <w:lvlJc w:val="left"/>
      <w:lvlText w:val="-"/>
      <w:numFmt w:val="bullet"/>
      <w:start w:val="1"/>
    </w:lvl>
  </w:abstractNum>
  <w:abstractNum w:abstractNumId="28">
    <w:nsid w:val="94211F2"/>
    <w:multiLevelType w:val="hybridMultilevel"/>
    <w:lvl w:ilvl="0">
      <w:lvlJc w:val="left"/>
      <w:lvlText w:val="(%1)"/>
      <w:numFmt w:val="lowerRoman"/>
      <w:start w:val="11"/>
    </w:lvl>
  </w:abstractNum>
  <w:abstractNum w:abstractNumId="29">
    <w:nsid w:val="885E1B"/>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0">
    <w:nsid w:val="76272110"/>
    <w:multiLevelType w:val="hybridMultilevel"/>
    <w:lvl w:ilvl="0">
      <w:lvlJc w:val="left"/>
      <w:lvlText w:val="%1"/>
      <w:numFmt w:val="lowerRoman"/>
      <w:start w:val="1"/>
    </w:lvl>
    <w:lvl w:ilvl="1">
      <w:lvlJc w:val="left"/>
      <w:lvlText w:val="(%2)"/>
      <w:numFmt w:val="lowerLetter"/>
      <w:start w:val="3"/>
    </w:lvl>
  </w:abstractNum>
  <w:abstractNum w:abstractNumId="31">
    <w:nsid w:val="4C04A8AF"/>
    <w:multiLevelType w:val="hybridMultilevel"/>
    <w:lvl w:ilvl="0">
      <w:lvlJc w:val="left"/>
      <w:lvlText w:val="(%1)"/>
      <w:numFmt w:val="lowerRoman"/>
      <w:start w:val="4"/>
    </w:lvl>
    <w:lvl w:ilvl="1">
      <w:lvlJc w:val="left"/>
      <w:lvlText w:val="%2"/>
      <w:numFmt w:val="lowerLetter"/>
      <w:start w:val="1"/>
    </w:lvl>
  </w:abstractNum>
  <w:abstractNum w:abstractNumId="32">
    <w:nsid w:val="1716703B"/>
    <w:multiLevelType w:val="hybridMultilevel"/>
    <w:lvl w:ilvl="0">
      <w:lvlJc w:val="left"/>
      <w:lvlText w:val="%1."/>
      <w:numFmt w:val="decimal"/>
      <w:start w:val="3"/>
    </w:lvl>
  </w:abstractNum>
  <w:abstractNum w:abstractNumId="33">
    <w:nsid w:val="14E17E33"/>
    <w:multiLevelType w:val="hybridMultilevel"/>
    <w:lvl w:ilvl="0">
      <w:lvlJc w:val="left"/>
      <w:lvlText w:val="%1."/>
      <w:numFmt w:val="decimal"/>
      <w:start w:val="4"/>
    </w:lvl>
  </w:abstractNum>
  <w:abstractNum w:abstractNumId="34">
    <w:nsid w:val="3222E7CD"/>
    <w:multiLevelType w:val="hybridMultilevel"/>
    <w:lvl w:ilvl="0">
      <w:lvlJc w:val="left"/>
      <w:lvlText w:val="(%1)"/>
      <w:numFmt w:val="lowerRoman"/>
      <w:start w:val="1"/>
    </w:lvl>
    <w:lvl w:ilvl="1">
      <w:lvlJc w:val="left"/>
      <w:lvlText w:val="-"/>
      <w:numFmt w:val="bullet"/>
      <w:start w:val="1"/>
    </w:lvl>
  </w:abstractNum>
  <w:abstractNum w:abstractNumId="35">
    <w:nsid w:val="74DE0EE3"/>
    <w:multiLevelType w:val="hybridMultilevel"/>
    <w:lvl w:ilvl="0">
      <w:lvlJc w:val="left"/>
      <w:lvlText w:val="(%1)"/>
      <w:numFmt w:val="lowerRoman"/>
      <w:start w:val="1"/>
    </w:lvl>
  </w:abstractNum>
  <w:abstractNum w:abstractNumId="36">
    <w:nsid w:val="68EBC550"/>
    <w:multiLevelType w:val="hybridMultilevel"/>
    <w:lvl w:ilvl="0">
      <w:lvlJc w:val="left"/>
      <w:lvlText w:val="(%1)"/>
      <w:numFmt w:val="lowerRoman"/>
      <w:start w:val="1"/>
    </w:lvl>
  </w:abstractNum>
  <w:abstractNum w:abstractNumId="37">
    <w:nsid w:val="2DF6D648"/>
    <w:multiLevelType w:val="hybridMultilevel"/>
    <w:lvl w:ilvl="0">
      <w:lvlJc w:val="left"/>
      <w:lvlText w:val="(%1)"/>
      <w:numFmt w:val="lowerRoman"/>
      <w:start w:val="1"/>
    </w:lvl>
  </w:abstractNum>
  <w:abstractNum w:abstractNumId="38">
    <w:nsid w:val="46B7D447"/>
    <w:multiLevelType w:val="hybridMultilevel"/>
    <w:lvl w:ilvl="0">
      <w:lvlJc w:val="left"/>
      <w:lvlText w:val="(%1)"/>
      <w:numFmt w:val="lowerRoman"/>
      <w:start w:val="1"/>
    </w:lvl>
  </w:abstractNum>
  <w:abstractNum w:abstractNumId="39">
    <w:nsid w:val="4A2AC315"/>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40">
    <w:nsid w:val="39EE015C"/>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41">
    <w:nsid w:val="57FC4FBB"/>
    <w:multiLevelType w:val="hybridMultilevel"/>
    <w:lvl w:ilvl="0">
      <w:lvlJc w:val="left"/>
      <w:lvlText w:val="(%1)"/>
      <w:numFmt w:val="lowerRoman"/>
      <w:start w:val="5"/>
    </w:lvl>
  </w:abstractNum>
  <w:abstractNum w:abstractNumId="42">
    <w:nsid w:val="CC1016F"/>
    <w:multiLevelType w:val="hybridMultilevel"/>
    <w:lvl w:ilvl="0">
      <w:lvlJc w:val="left"/>
      <w:lvlText w:val="%1."/>
      <w:numFmt w:val="decimal"/>
      <w:start w:val="5"/>
    </w:lvl>
  </w:abstractNum>
  <w:abstractNum w:abstractNumId="43">
    <w:nsid w:val="43F18422"/>
    <w:multiLevelType w:val="hybridMultilevel"/>
    <w:lvl w:ilvl="0">
      <w:lvlJc w:val="left"/>
      <w:lvlText w:val="(%1)"/>
      <w:numFmt w:val="lowerRoman"/>
      <w:start w:val="1"/>
    </w:lvl>
  </w:abstractNum>
  <w:abstractNum w:abstractNumId="44">
    <w:nsid w:val="60EF0119"/>
    <w:multiLevelType w:val="hybridMultilevel"/>
    <w:lvl w:ilvl="0">
      <w:lvlJc w:val="left"/>
      <w:lvlText w:val="(%1)"/>
      <w:numFmt w:val="lowerLetter"/>
      <w:start w:val="23"/>
    </w:lvl>
    <w:lvl w:ilvl="1">
      <w:lvlJc w:val="left"/>
      <w:lvlText w:val="-"/>
      <w:numFmt w:val="bullet"/>
      <w:start w:val="1"/>
    </w:lvl>
  </w:abstractNum>
  <w:abstractNum w:abstractNumId="45">
    <w:nsid w:val="26F324BA"/>
    <w:multiLevelType w:val="hybridMultilevel"/>
    <w:lvl w:ilvl="0">
      <w:lvlJc w:val="left"/>
      <w:lvlText w:val="(%1)"/>
      <w:numFmt w:val="lowerLetter"/>
      <w:start w:val="26"/>
    </w:lvl>
  </w:abstractNum>
  <w:abstractNum w:abstractNumId="46">
    <w:nsid w:val="7F01579B"/>
    <w:multiLevelType w:val="hybridMultilevel"/>
    <w:lvl w:ilvl="0">
      <w:lvlJc w:val="left"/>
      <w:lvlText w:val="(%1)"/>
      <w:numFmt w:val="lowerRoman"/>
      <w:start w:val="1"/>
    </w:lvl>
    <w:lvl w:ilvl="1">
      <w:lvlJc w:val="left"/>
      <w:lvlText w:val="-"/>
      <w:numFmt w:val="bullet"/>
      <w:start w:val="1"/>
    </w:lvl>
  </w:abstractNum>
  <w:abstractNum w:abstractNumId="47">
    <w:nsid w:val="49DA307D"/>
    <w:multiLevelType w:val="hybridMultilevel"/>
    <w:lvl w:ilvl="0">
      <w:lvlJc w:val="left"/>
      <w:lvlText w:val="(%1)"/>
      <w:numFmt w:val="lowerRoman"/>
      <w:start w:val="3"/>
    </w:lvl>
  </w:abstractNum>
  <w:abstractNum w:abstractNumId="48">
    <w:nsid w:val="7055A5F5"/>
    <w:multiLevelType w:val="hybridMultilevel"/>
    <w:lvl w:ilvl="0">
      <w:lvlJc w:val="left"/>
      <w:lvlText w:val="(%1)"/>
      <w:numFmt w:val="lowerRoman"/>
      <w:start w:val="2"/>
    </w:lvl>
  </w:abstractNum>
  <w:abstractNum w:abstractNumId="49">
    <w:nsid w:val="5FB8370B"/>
    <w:multiLevelType w:val="hybridMultilevel"/>
    <w:lvl w:ilvl="0">
      <w:lvlJc w:val="left"/>
      <w:lvlText w:val="(%1)"/>
      <w:numFmt w:val="lowerRoman"/>
      <w:start w:val="1"/>
    </w:lvl>
    <w:lvl w:ilvl="1">
      <w:lvlJc w:val="left"/>
      <w:lvlText w:val="-"/>
      <w:numFmt w:val="bullet"/>
      <w:start w:val="1"/>
    </w:lvl>
  </w:abstractNum>
  <w:abstractNum w:abstractNumId="50">
    <w:nsid w:val="50801EE1"/>
    <w:multiLevelType w:val="hybridMultilevel"/>
    <w:lvl w:ilvl="0">
      <w:lvlJc w:val="left"/>
      <w:lvlText w:val="%1"/>
      <w:numFmt w:val="decimal"/>
      <w:start w:val="1"/>
    </w:lvl>
    <w:lvl w:ilvl="1">
      <w:lvlJc w:val="left"/>
      <w:lvlText w:val="(%2)"/>
      <w:numFmt w:val="lowerRoman"/>
      <w:start w:val="2"/>
    </w:lvl>
  </w:abstractNum>
  <w:abstractNum w:abstractNumId="51">
    <w:nsid w:val="488AC1A"/>
    <w:multiLevelType w:val="hybridMultilevel"/>
    <w:lvl w:ilvl="0">
      <w:lvlJc w:val="left"/>
      <w:lvlText w:val="(%1)"/>
      <w:numFmt w:val="decimal"/>
      <w:start w:val="30"/>
    </w:lvl>
    <w:lvl w:ilvl="1">
      <w:lvlJc w:val="left"/>
      <w:lvlText w:val="%2"/>
      <w:numFmt w:val="lowerRoman"/>
      <w:start w:val="1"/>
    </w:lvl>
  </w:abstractNum>
  <w:abstractNum w:abstractNumId="52">
    <w:nsid w:val="5FB8011C"/>
    <w:multiLevelType w:val="hybridMultilevel"/>
    <w:lvl w:ilvl="0">
      <w:lvlJc w:val="left"/>
      <w:lvlText w:val="(%1)"/>
      <w:numFmt w:val="lowerRoman"/>
      <w:start w:val="1"/>
    </w:lvl>
  </w:abstractNum>
  <w:abstractNum w:abstractNumId="53">
    <w:nsid w:val="6AA78F7F"/>
    <w:multiLevelType w:val="hybridMultilevel"/>
    <w:lvl w:ilvl="0">
      <w:lvlJc w:val="left"/>
      <w:lvlText w:val="(%1)"/>
      <w:numFmt w:val="lowerRoman"/>
      <w:start w:val="2"/>
    </w:lvl>
  </w:abstractNum>
  <w:abstractNum w:abstractNumId="54">
    <w:nsid w:val="7672BD23"/>
    <w:multiLevelType w:val="hybridMultilevel"/>
    <w:lvl w:ilvl="0">
      <w:lvlJc w:val="left"/>
      <w:lvlText w:val="(%1)"/>
      <w:numFmt w:val="decimal"/>
      <w:start w:val="10"/>
    </w:lvl>
  </w:abstractNum>
  <w:abstractNum w:abstractNumId="55">
    <w:nsid w:val="6FC75AF8"/>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56">
    <w:nsid w:val="6A5F7029"/>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57">
    <w:nsid w:val="7D5E18F8"/>
    <w:multiLevelType w:val="hybridMultilevel"/>
    <w:lvl w:ilvl="0">
      <w:lvlJc w:val="left"/>
      <w:lvlText w:val="(%1)"/>
      <w:numFmt w:val="lowerLetter"/>
      <w:start w:val="25"/>
    </w:lvl>
    <w:lvl w:ilvl="1">
      <w:lvlJc w:val="left"/>
      <w:lvlText w:val="(%2)"/>
      <w:numFmt w:val="upperLetter"/>
      <w:start w:val="2"/>
    </w:lvl>
    <w:lvl w:ilvl="2">
      <w:lvlJc w:val="left"/>
      <w:lvlText w:val="(%3)"/>
      <w:numFmt w:val="lowerRoman"/>
      <w:start w:val="4"/>
    </w:lvl>
    <w:lvl w:ilvl="3">
      <w:lvlJc w:val="left"/>
      <w:lvlText w:val="-"/>
      <w:numFmt w:val="bullet"/>
      <w:start w:val="1"/>
    </w:lvl>
  </w:abstractNum>
  <w:abstractNum w:abstractNumId="58">
    <w:nsid w:val="5F3534A4"/>
    <w:multiLevelType w:val="hybridMultilevel"/>
    <w:lvl w:ilvl="0">
      <w:lvlJc w:val="left"/>
      <w:lvlText w:val="(%1)"/>
      <w:numFmt w:val="upperLetter"/>
      <w:start w:val="4"/>
    </w:lvl>
  </w:abstractNum>
  <w:abstractNum w:abstractNumId="59">
    <w:nsid w:val="73A1821B"/>
    <w:multiLevelType w:val="hybridMultilevel"/>
    <w:lvl w:ilvl="0">
      <w:lvlJc w:val="left"/>
      <w:lvlText w:val="(%1)"/>
      <w:numFmt w:val="lowerRoman"/>
      <w:start w:val="1"/>
    </w:lvl>
  </w:abstractNum>
  <w:abstractNum w:abstractNumId="60">
    <w:nsid w:val="7DE67713"/>
    <w:multiLevelType w:val="hybridMultilevel"/>
    <w:lvl w:ilvl="0">
      <w:lvlJc w:val="left"/>
      <w:lvlText w:val="%1."/>
      <w:numFmt w:val="decimal"/>
      <w:start w:val="6"/>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lowerRoman"/>
      <w:start w:val="3"/>
    </w:lvl>
  </w:abstractNum>
  <w:abstractNum w:abstractNumId="63">
    <w:nsid w:val="14FCE74E"/>
    <w:multiLevelType w:val="hybridMultilevel"/>
    <w:lvl w:ilvl="0">
      <w:lvlJc w:val="left"/>
      <w:lvlText w:val="(%1)"/>
      <w:numFmt w:val="lowerRoman"/>
      <w:start w:val="2"/>
    </w:lvl>
    <w:lvl w:ilvl="1">
      <w:lvlJc w:val="left"/>
      <w:lvlText w:val="-"/>
      <w:numFmt w:val="bullet"/>
      <w:start w:val="1"/>
    </w:lvl>
  </w:abstractNum>
  <w:abstractNum w:abstractNumId="64">
    <w:nsid w:val="6A3DD3E8"/>
    <w:multiLevelType w:val="hybridMultilevel"/>
    <w:lvl w:ilvl="0">
      <w:lvlJc w:val="left"/>
      <w:lvlText w:val="%1"/>
      <w:numFmt w:val="lowerRoman"/>
      <w:start w:val="1"/>
    </w:lvl>
    <w:lvl w:ilvl="1">
      <w:lvlJc w:val="left"/>
      <w:lvlText w:val="(%2)"/>
      <w:numFmt w:val="lowerRoman"/>
      <w:start w:val="3"/>
    </w:lvl>
  </w:abstractNum>
  <w:abstractNum w:abstractNumId="65">
    <w:nsid w:val="71C91298"/>
    <w:multiLevelType w:val="hybridMultilevel"/>
    <w:lvl w:ilvl="0">
      <w:lvlJc w:val="left"/>
      <w:lvlText w:val="(%1)"/>
      <w:numFmt w:val="lowerRoman"/>
      <w:start w:val="3"/>
    </w:lvl>
    <w:lvl w:ilvl="1">
      <w:lvlJc w:val="left"/>
      <w:lvlText w:val="(%2)"/>
      <w:numFmt w:val="lowerRoman"/>
      <w:start w:val="4"/>
    </w:lvl>
  </w:abstractNum>
  <w:abstractNum w:abstractNumId="66">
    <w:nsid w:val="9DAF632"/>
    <w:multiLevelType w:val="hybridMultilevel"/>
    <w:lvl w:ilvl="0">
      <w:lvlJc w:val="left"/>
      <w:lvlText w:val="(%1)"/>
      <w:numFmt w:val="lowerRoman"/>
      <w:start w:val="1"/>
    </w:lvl>
    <w:lvl w:ilvl="1">
      <w:lvlJc w:val="left"/>
      <w:lvlText w:val="-"/>
      <w:numFmt w:val="bullet"/>
      <w:start w:val="1"/>
    </w:lvl>
  </w:abstractNum>
  <w:abstractNum w:abstractNumId="67">
    <w:nsid w:val="53299938"/>
    <w:multiLevelType w:val="hybridMultilevel"/>
    <w:lvl w:ilvl="0">
      <w:lvlJc w:val="left"/>
      <w:lvlText w:val="(%1)"/>
      <w:numFmt w:val="lowerRoman"/>
      <w:start w:val="2"/>
    </w:lvl>
  </w:abstractNum>
  <w:abstractNum w:abstractNumId="68">
    <w:nsid w:val="1FBFE8E0"/>
    <w:multiLevelType w:val="hybridMultilevel"/>
    <w:lvl w:ilvl="0">
      <w:lvlJc w:val="left"/>
      <w:lvlText w:val="%1."/>
      <w:numFmt w:val="decimal"/>
      <w:start w:val="7"/>
    </w:lvl>
  </w:abstractNum>
  <w:abstractNum w:abstractNumId="69">
    <w:nsid w:val="5092CA79"/>
    <w:multiLevelType w:val="hybridMultilevel"/>
    <w:lvl w:ilvl="0">
      <w:lvlJc w:val="left"/>
      <w:lvlText w:val="(%1)"/>
      <w:numFmt w:val="lowerRoman"/>
      <w:start w:val="1"/>
    </w:lvl>
    <w:lvl w:ilvl="1">
      <w:lvlJc w:val="left"/>
      <w:lvlText w:val="-"/>
      <w:numFmt w:val="bullet"/>
      <w:start w:val="1"/>
    </w:lvl>
  </w:abstractNum>
  <w:abstractNum w:abstractNumId="70">
    <w:nsid w:val="1D545C4D"/>
    <w:multiLevelType w:val="hybridMultilevel"/>
    <w:lvl w:ilvl="0">
      <w:lvlJc w:val="left"/>
      <w:lvlText w:val="(%1)"/>
      <w:numFmt w:val="lowerRoman"/>
      <w:start w:val="6"/>
    </w:lvl>
  </w:abstractNum>
  <w:abstractNum w:abstractNumId="71">
    <w:nsid w:val="59ADEA3D"/>
    <w:multiLevelType w:val="hybridMultilevel"/>
    <w:lvl w:ilvl="0">
      <w:lvlJc w:val="left"/>
      <w:lvlText w:val="(%1)"/>
      <w:numFmt w:val="lowerRoman"/>
      <w:start w:val="10"/>
    </w:lvl>
  </w:abstractNum>
  <w:abstractNum w:abstractNumId="72">
    <w:nsid w:val="288F1A34"/>
    <w:multiLevelType w:val="hybridMultilevel"/>
    <w:lvl w:ilvl="0">
      <w:lvlJc w:val="left"/>
      <w:lvlText w:val="%1."/>
      <w:numFmt w:val="decimal"/>
      <w:start w:val="8"/>
    </w:lvl>
  </w:abstractNum>
  <w:abstractNum w:abstractNumId="73">
    <w:nsid w:val="2A155DBC"/>
    <w:multiLevelType w:val="hybridMultilevel"/>
    <w:lvl w:ilvl="0">
      <w:lvlJc w:val="left"/>
      <w:lvlText w:val="(%1)"/>
      <w:numFmt w:val="upperLetter"/>
      <w:start w:val="4"/>
    </w:lvl>
  </w:abstractNum>
  <w:abstractNum w:abstractNumId="74">
    <w:nsid w:val="1D9F6E5F"/>
    <w:multiLevelType w:val="hybridMultilevel"/>
    <w:lvl w:ilvl="0">
      <w:lvlJc w:val="left"/>
      <w:lvlText w:val="(%1)"/>
      <w:numFmt w:val="lowerRoman"/>
      <w:start w:val="1"/>
    </w:lvl>
    <w:lvl w:ilvl="1">
      <w:lvlJc w:val="left"/>
      <w:lvlText w:val="-"/>
      <w:numFmt w:val="bullet"/>
      <w:start w:val="1"/>
    </w:lvl>
  </w:abstractNum>
  <w:abstractNum w:abstractNumId="75">
    <w:nsid w:val="97E1B4E"/>
    <w:multiLevelType w:val="hybridMultilevel"/>
    <w:lvl w:ilvl="0">
      <w:lvlJc w:val="left"/>
      <w:lvlText w:val="(%1)"/>
      <w:numFmt w:val="lowerRoman"/>
      <w:start w:val="1"/>
    </w:lvl>
    <w:lvl w:ilvl="1">
      <w:lvlJc w:val="left"/>
      <w:lvlText w:val="-"/>
      <w:numFmt w:val="bullet"/>
      <w:start w:val="1"/>
    </w:lvl>
  </w:abstractNum>
  <w:abstractNum w:abstractNumId="76">
    <w:nsid w:val="51088277"/>
    <w:multiLevelType w:val="hybridMultilevel"/>
    <w:lvl w:ilvl="0">
      <w:lvlJc w:val="left"/>
      <w:lvlText w:val="(%1)"/>
      <w:numFmt w:val="lowerRoman"/>
      <w:start w:val="6"/>
    </w:lvl>
  </w:abstractNum>
  <w:abstractNum w:abstractNumId="77">
    <w:nsid w:val="1CA0C5FA"/>
    <w:multiLevelType w:val="hybridMultilevel"/>
    <w:lvl w:ilvl="0">
      <w:lvlJc w:val="left"/>
      <w:lvlText w:val="(%1)"/>
      <w:numFmt w:val="lowerLetter"/>
      <w:start w:val="9"/>
    </w:lvl>
    <w:lvl w:ilvl="1">
      <w:lvlJc w:val="left"/>
      <w:lvlText w:val="(%2)"/>
      <w:numFmt w:val="lowerLetter"/>
      <w:start w:val="1"/>
    </w:lvl>
  </w:abstractNum>
  <w:abstractNum w:abstractNumId="78">
    <w:nsid w:val="53584BC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79">
    <w:nsid w:val="415E286C"/>
    <w:multiLevelType w:val="hybridMultilevel"/>
    <w:lvl w:ilvl="0">
      <w:lvlJc w:val="left"/>
      <w:lvlText w:val="(%1)"/>
      <w:numFmt w:val="lowerLetter"/>
      <w:start w:val="5"/>
    </w:lvl>
  </w:abstractNum>
  <w:abstractNum w:abstractNumId="80">
    <w:nsid w:val="7C58FD05"/>
    <w:multiLevelType w:val="hybridMultilevel"/>
    <w:lvl w:ilvl="0">
      <w:lvlJc w:val="left"/>
      <w:lvlText w:val="(%1)"/>
      <w:numFmt w:val="lowerRoman"/>
      <w:start w:val="1"/>
    </w:lvl>
    <w:lvl w:ilvl="1">
      <w:lvlJc w:val="left"/>
      <w:lvlText w:val="-"/>
      <w:numFmt w:val="bullet"/>
      <w:start w:val="1"/>
    </w:lvl>
  </w:abstractNum>
  <w:abstractNum w:abstractNumId="81">
    <w:nsid w:val="23D86AAC"/>
    <w:multiLevelType w:val="hybridMultilevel"/>
    <w:lvl w:ilvl="0">
      <w:lvlJc w:val="left"/>
      <w:lvlText w:val="(%1)"/>
      <w:numFmt w:val="lowerRoman"/>
      <w:start w:val="5"/>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Roman"/>
      <w:start w:val="1"/>
    </w:lvl>
  </w:abstractNum>
  <w:abstractNum w:abstractNumId="84">
    <w:nsid w:val="E7FFA2B"/>
    <w:multiLevelType w:val="hybridMultilevel"/>
    <w:lvl w:ilvl="0">
      <w:lvlJc w:val="left"/>
      <w:lvlText w:val="%1."/>
      <w:numFmt w:val="decimal"/>
      <w:start w:val="9"/>
    </w:lvl>
  </w:abstractNum>
  <w:abstractNum w:abstractNumId="85">
    <w:nsid w:val="3C5991AA"/>
    <w:multiLevelType w:val="hybridMultilevel"/>
    <w:lvl w:ilvl="0">
      <w:lvlJc w:val="left"/>
      <w:lvlText w:val="(%1)"/>
      <w:numFmt w:val="lowerRoman"/>
      <w:start w:val="1"/>
    </w:lvl>
    <w:lvl w:ilvl="1">
      <w:lvlJc w:val="left"/>
      <w:lvlText w:val="-"/>
      <w:numFmt w:val="bullet"/>
      <w:start w:val="1"/>
    </w:lvl>
  </w:abstractNum>
  <w:abstractNum w:abstractNumId="86">
    <w:nsid w:val="4BD8591A"/>
    <w:multiLevelType w:val="hybridMultilevel"/>
    <w:lvl w:ilvl="0">
      <w:lvlJc w:val="left"/>
      <w:lvlText w:val="%1."/>
      <w:numFmt w:val="decimal"/>
      <w:start w:val="10"/>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Roman"/>
      <w:start w:val="1"/>
    </w:lvl>
    <w:lvl w:ilvl="1">
      <w:lvlJc w:val="left"/>
      <w:lvlText w:val="(%2)"/>
      <w:numFmt w:val="lowerRoman"/>
      <w:start w:val="1"/>
    </w:lvl>
  </w:abstractNum>
  <w:abstractNum w:abstractNumId="89">
    <w:nsid w:val="2B0D8DBE"/>
    <w:multiLevelType w:val="hybridMultilevel"/>
    <w:lvl w:ilvl="0">
      <w:lvlJc w:val="left"/>
      <w:lvlText w:val="(%1)"/>
      <w:numFmt w:val="lowerRoman"/>
      <w:start w:val="2"/>
    </w:lvl>
    <w:lvl w:ilvl="1">
      <w:lvlJc w:val="left"/>
      <w:lvlText w:val="%2"/>
      <w:numFmt w:val="lowerRoman"/>
      <w:start w:val="1"/>
    </w:lvl>
  </w:abstractNum>
  <w:abstractNum w:abstractNumId="90">
    <w:nsid w:val="6C80EC7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1">
    <w:nsid w:val="379E21B5"/>
    <w:multiLevelType w:val="hybridMultilevel"/>
    <w:lvl w:ilvl="0">
      <w:lvlJc w:val="left"/>
      <w:lvlText w:val="%1"/>
      <w:numFmt w:val="lowerLetter"/>
      <w:start w:val="1"/>
    </w:lvl>
    <w:lvl w:ilvl="1">
      <w:lvlJc w:val="left"/>
      <w:lvlText w:val="(%2)"/>
      <w:numFmt w:val="lowerRoman"/>
      <w:start w:val="2"/>
    </w:lvl>
  </w:abstractNum>
  <w:abstractNum w:abstractNumId="92">
    <w:nsid w:val="69E373"/>
    <w:multiLevelType w:val="hybridMultilevel"/>
    <w:lvl w:ilvl="0">
      <w:lvlJc w:val="left"/>
      <w:lvlText w:val="(%1)"/>
      <w:numFmt w:val="lowerLetter"/>
      <w:start w:val="2"/>
    </w:lvl>
    <w:lvl w:ilvl="1">
      <w:lvlJc w:val="left"/>
      <w:lvlText w:val="%2"/>
      <w:numFmt w:val="lowerRoman"/>
      <w:start w:val="1"/>
    </w:lvl>
  </w:abstractNum>
  <w:abstractNum w:abstractNumId="93">
    <w:nsid w:val="2C27173B"/>
    <w:multiLevelType w:val="hybridMultilevel"/>
    <w:lvl w:ilvl="0">
      <w:lvlJc w:val="left"/>
      <w:lvlText w:val="%1."/>
      <w:numFmt w:val="decimal"/>
      <w:start w:val="12"/>
    </w:lvl>
  </w:abstractNum>
  <w:abstractNum w:abstractNumId="94">
    <w:nsid w:val="4C9B0904"/>
    <w:multiLevelType w:val="hybridMultilevel"/>
    <w:lvl w:ilvl="0">
      <w:lvlJc w:val="left"/>
      <w:lvlText w:val="(%1)"/>
      <w:numFmt w:val="lowerLetter"/>
      <w:start w:val="9"/>
    </w:lvl>
    <w:lvl w:ilvl="1">
      <w:lvlJc w:val="left"/>
      <w:lvlText w:val="(%2)"/>
      <w:numFmt w:val="lowerLetter"/>
      <w:start w:val="1"/>
    </w:lvl>
  </w:abstractNum>
  <w:abstractNum w:abstractNumId="95">
    <w:nsid w:val="6AA7B75C"/>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96">
    <w:nsid w:val="1DF029D3"/>
    <w:multiLevelType w:val="hybridMultilevel"/>
    <w:lvl w:ilvl="0">
      <w:lvlJc w:val="left"/>
      <w:lvlText w:val="(%1)"/>
      <w:numFmt w:val="lowerRoman"/>
      <w:start w:val="5"/>
    </w:lvl>
  </w:abstractNum>
  <w:abstractNum w:abstractNumId="97">
    <w:nsid w:val="5675FF36"/>
    <w:multiLevelType w:val="hybridMultilevel"/>
    <w:lvl w:ilvl="0">
      <w:lvlJc w:val="left"/>
      <w:lvlText w:val="(%1)"/>
      <w:numFmt w:val="lowerLetter"/>
      <w:start w:val="1"/>
    </w:lvl>
  </w:abstractNum>
  <w:abstractNum w:abstractNumId="98">
    <w:nsid w:val="3DD1509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9">
    <w:nsid w:val="3DB012B3"/>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00">
    <w:nsid w:val="2708C9AF"/>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4"/>
      <w:numFmt w:val="lowerLetter"/>
      <w:start w:val="1"/>
    </w:lvl>
    <w:lvl w:ilvl="4">
      <w:lvlJc w:val="left"/>
      <w:lvlText w:val="-"/>
      <w:numFmt w:val="bullet"/>
      <w:start w:val="1"/>
    </w:lvl>
  </w:abstractNum>
  <w:abstractNum w:abstractNumId="101">
    <w:nsid w:val="5B25ACE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
      <w:numFmt w:val="bullet"/>
      <w:start w:val="1"/>
    </w:lvl>
  </w:abstractNum>
  <w:abstractNum w:abstractNumId="102">
    <w:nsid w:val="175DFCF0"/>
    <w:multiLevelType w:val="hybridMultilevel"/>
    <w:lvl w:ilvl="0">
      <w:lvlJc w:val="left"/>
      <w:lvlText w:val="%1"/>
      <w:numFmt w:val="lowerRoman"/>
      <w:start w:val="1"/>
    </w:lvl>
    <w:lvl w:ilvl="1">
      <w:lvlJc w:val="left"/>
      <w:lvlText w:val="(%2)"/>
      <w:numFmt w:val="lowerLetter"/>
      <w:start w:val="1"/>
    </w:lvl>
  </w:abstractNum>
  <w:abstractNum w:abstractNumId="103">
    <w:nsid w:val="4F97E3E4"/>
    <w:multiLevelType w:val="hybridMultilevel"/>
    <w:lvl w:ilvl="0">
      <w:lvlJc w:val="left"/>
      <w:lvlText w:val="%1."/>
      <w:numFmt w:val="lowerRoman"/>
      <w:start w:val="3"/>
    </w:lvl>
    <w:lvl w:ilvl="1">
      <w:lvlJc w:val="left"/>
      <w:lvlText w:val="%2"/>
      <w:numFmt w:val="lowerLetter"/>
      <w:start w:val="1"/>
    </w:lvl>
  </w:abstractNum>
  <w:abstractNum w:abstractNumId="104">
    <w:nsid w:val="53B0A9E"/>
    <w:multiLevelType w:val="hybridMultilevel"/>
    <w:lvl w:ilvl="0">
      <w:lvlJc w:val="left"/>
      <w:lvlText w:val="(%1)"/>
      <w:numFmt w:val="lowerLetter"/>
      <w:start w:val="4"/>
    </w:lvl>
  </w:abstractNum>
  <w:abstractNum w:abstractNumId="105">
    <w:nsid w:val="34FD6B4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106">
    <w:nsid w:val="5915FF32"/>
    <w:multiLevelType w:val="hybridMultilevel"/>
    <w:lvl w:ilvl="0">
      <w:lvlJc w:val="left"/>
      <w:lvlText w:val="(%1)"/>
      <w:numFmt w:val="lowerRoman"/>
      <w:start w:val="3"/>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decimal"/>
      <w:start w:val="2"/>
    </w:lvl>
  </w:abstractNum>
  <w:abstractNum w:abstractNumId="109">
    <w:nsid w:val="2C6E4AFD"/>
    <w:multiLevelType w:val="hybridMultilevel"/>
    <w:lvl w:ilvl="0">
      <w:lvlJc w:val="left"/>
      <w:lvlText w:val="(%1)"/>
      <w:numFmt w:val="lowerRoman"/>
      <w:start w:val="5"/>
    </w:lvl>
  </w:abstractNum>
  <w:abstractNum w:abstractNumId="110">
    <w:nsid w:val="17A1B582"/>
    <w:multiLevelType w:val="hybridMultilevel"/>
    <w:lvl w:ilvl="0">
      <w:lvlJc w:val="left"/>
      <w:lvlText w:val="(%1)"/>
      <w:numFmt w:val="decimal"/>
      <w:start w:val="2"/>
    </w:lvl>
  </w:abstractNum>
  <w:abstractNum w:abstractNumId="111">
    <w:nsid w:val="4DF72E4E"/>
    <w:multiLevelType w:val="hybridMultilevel"/>
    <w:lvl w:ilvl="0">
      <w:lvlJc w:val="left"/>
      <w:lvlText w:val="(%1)"/>
      <w:numFmt w:val="lowerRoman"/>
      <w:start w:val="4"/>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5EC6AFD4"/>
    <w:multiLevelType w:val="hybridMultilevel"/>
    <w:lvl w:ilvl="0">
      <w:lvlJc w:val="left"/>
      <w:lvlText w:val="(%1)"/>
      <w:numFmt w:val="upperLetter"/>
      <w:start w:val="2"/>
    </w:lvl>
  </w:abstractNum>
  <w:abstractNum w:abstractNumId="116">
    <w:nsid w:val="19E21BB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7">
    <w:nsid w:val="75E0858A"/>
    <w:multiLevelType w:val="hybridMultilevel"/>
    <w:lvl w:ilvl="0">
      <w:lvlJc w:val="left"/>
      <w:lvlText w:val="(%1)"/>
      <w:numFmt w:val="lowerLetter"/>
      <w:start w:val="2"/>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1"/>
    </w:lvl>
    <w:lvl w:ilvl="1">
      <w:lvlJc w:val="left"/>
      <w:lvlText w:val="(%2)"/>
      <w:numFmt w:val="lowerRoman"/>
      <w:start w:val="1"/>
    </w:lvl>
  </w:abstractNum>
  <w:abstractNum w:abstractNumId="120">
    <w:nsid w:val="20EE1348"/>
    <w:multiLevelType w:val="hybridMultilevel"/>
    <w:lvl w:ilvl="0">
      <w:lvlJc w:val="left"/>
      <w:lvlText w:val="(%1)"/>
      <w:numFmt w:val="lowerLetter"/>
      <w:start w:val="3"/>
    </w:lvl>
    <w:lvl w:ilvl="1">
      <w:lvlJc w:val="left"/>
      <w:lvlText w:val="%2"/>
      <w:numFmt w:val="lowerRoman"/>
      <w:start w:val="1"/>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decimal"/>
      <w:start w:val="2"/>
    </w:lvl>
  </w:abstractNum>
  <w:abstractNum w:abstractNumId="123">
    <w:nsid w:val="2157F6BC"/>
    <w:multiLevelType w:val="hybridMultilevel"/>
    <w:lvl w:ilvl="0">
      <w:lvlJc w:val="left"/>
      <w:lvlText w:val="(%1)"/>
      <w:numFmt w:val="lowerLetter"/>
      <w:start w:val="1"/>
    </w:lvl>
    <w:lvl w:ilvl="1">
      <w:lvlJc w:val="left"/>
      <w:lvlText w:val="(%2)"/>
      <w:numFmt w:val="lowerRoman"/>
      <w:start w:val="1"/>
    </w:lvl>
  </w:abstractNum>
  <w:abstractNum w:abstractNumId="124">
    <w:nsid w:val="704E1DD5"/>
    <w:multiLevelType w:val="hybridMultilevel"/>
    <w:lvl w:ilvl="0">
      <w:lvlJc w:val="left"/>
      <w:lvlText w:val="%1"/>
      <w:numFmt w:val="lowerLetter"/>
      <w:start w:val="1"/>
    </w:lvl>
    <w:lvl w:ilvl="1">
      <w:lvlJc w:val="left"/>
      <w:lvlText w:val="(%2)"/>
      <w:numFmt w:val="lowerLetter"/>
      <w:start w:val="35"/>
    </w:lvl>
  </w:abstractNum>
  <w:abstractNum w:abstractNumId="125">
    <w:nsid w:val="57D2F10E"/>
    <w:multiLevelType w:val="hybridMultilevel"/>
    <w:lvl w:ilvl="0">
      <w:lvlJc w:val="left"/>
      <w:lvlText w:val="(%1)"/>
      <w:numFmt w:val="lowerLetter"/>
      <w:start w:val="4"/>
    </w:lvl>
    <w:lvl w:ilvl="1">
      <w:lvlJc w:val="left"/>
      <w:lvlText w:val="%2"/>
      <w:numFmt w:val="lowerLetter"/>
      <w:start w:val="1"/>
    </w:lvl>
  </w:abstractNum>
  <w:abstractNum w:abstractNumId="126">
    <w:nsid w:val="BFFAE18"/>
    <w:multiLevelType w:val="hybridMultilevel"/>
    <w:lvl w:ilvl="0">
      <w:lvlJc w:val="left"/>
      <w:lvlText w:val="(%1)"/>
      <w:numFmt w:val="lowerLetter"/>
      <w:start w:val="2"/>
    </w:lvl>
    <w:lvl w:ilvl="1">
      <w:lvlJc w:val="left"/>
      <w:lvlText w:val="(%2)"/>
      <w:numFmt w:val="lowerRoman"/>
      <w:start w:val="1"/>
    </w:lvl>
  </w:abstractNum>
  <w:abstractNum w:abstractNumId="127">
    <w:nsid w:val="E3E47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8">
    <w:nsid w:val="2E48F044"/>
    <w:multiLevelType w:val="hybridMultilevel"/>
    <w:lvl w:ilvl="0">
      <w:lvlJc w:val="left"/>
      <w:lvlText w:val="(%1)"/>
      <w:numFmt w:val="lowerLetter"/>
      <w:start w:val="5"/>
    </w:lvl>
  </w:abstractNum>
  <w:abstractNum w:abstractNumId="129">
    <w:nsid w:val="49D0FEAC"/>
    <w:multiLevelType w:val="hybridMultilevel"/>
    <w:lvl w:ilvl="0">
      <w:lvlJc w:val="left"/>
      <w:lvlText w:val="%1."/>
      <w:numFmt w:val="decimal"/>
      <w:start w:val="3"/>
    </w:lvl>
  </w:abstractNum>
  <w:abstractNum w:abstractNumId="130">
    <w:nsid w:val="4BEE5A5B"/>
    <w:multiLevelType w:val="hybridMultilevel"/>
    <w:lvl w:ilvl="0">
      <w:lvlJc w:val="left"/>
      <w:lvlText w:val="(%1)"/>
      <w:numFmt w:val="lowerLetter"/>
      <w:start w:val="1"/>
    </w:lvl>
    <w:lvl w:ilvl="1">
      <w:lvlJc w:val="left"/>
      <w:lvlText w:val="(%2)"/>
      <w:numFmt w:val="lowerRoman"/>
      <w:start w:val="1"/>
    </w:lvl>
  </w:abstractNum>
  <w:abstractNum w:abstractNumId="131">
    <w:nsid w:val="5551B9F3"/>
    <w:multiLevelType w:val="hybridMultilevel"/>
    <w:lvl w:ilvl="0">
      <w:lvlJc w:val="left"/>
      <w:lvlText w:val="(%1)"/>
      <w:numFmt w:val="lowerLetter"/>
      <w:start w:val="2"/>
    </w:lvl>
    <w:lvl w:ilvl="1">
      <w:lvlJc w:val="left"/>
      <w:lvlText w:val="(%2)"/>
      <w:numFmt w:val="lowerRoman"/>
      <w:start w:val="1"/>
    </w:lvl>
  </w:abstractNum>
  <w:abstractNum w:abstractNumId="132">
    <w:nsid w:val="24F6AB8E"/>
    <w:multiLevelType w:val="hybridMultilevel"/>
    <w:lvl w:ilvl="0">
      <w:lvlJc w:val="left"/>
      <w:lvlText w:val="%1."/>
      <w:numFmt w:val="decimal"/>
      <w:start w:val="4"/>
    </w:lvl>
  </w:abstractNum>
  <w:abstractNum w:abstractNumId="133">
    <w:nsid w:val="634C574C"/>
    <w:multiLevelType w:val="hybridMultilevel"/>
    <w:lvl w:ilvl="0">
      <w:lvlJc w:val="left"/>
      <w:lvlText w:val="(%1)"/>
      <w:numFmt w:val="lowerLetter"/>
      <w:start w:val="1"/>
    </w:lvl>
  </w:abstractNum>
  <w:abstractNum w:abstractNumId="134">
    <w:nsid w:val="24E99DD7"/>
    <w:multiLevelType w:val="hybridMultilevel"/>
    <w:lvl w:ilvl="0">
      <w:lvlJc w:val="left"/>
      <w:lvlText w:val="%1."/>
      <w:numFmt w:val="decimal"/>
      <w:start w:val="5"/>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decimal"/>
      <w:start w:val="6"/>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decimal"/>
      <w:start w:val="7"/>
    </w:lvl>
  </w:abstractNum>
  <w:abstractNum w:abstractNumId="139">
    <w:nsid w:val="69E7F3E5"/>
    <w:multiLevelType w:val="hybridMultilevel"/>
    <w:lvl w:ilvl="0">
      <w:lvlJc w:val="left"/>
      <w:lvlText w:val="%1."/>
      <w:numFmt w:val="decimal"/>
      <w:start w:val="8"/>
    </w:lvl>
  </w:abstractNum>
  <w:abstractNum w:abstractNumId="140">
    <w:nsid w:val="2A6DE806"/>
    <w:multiLevelType w:val="hybridMultilevel"/>
    <w:lvl w:ilvl="0">
      <w:lvlJc w:val="left"/>
      <w:lvlText w:val="(%1)"/>
      <w:numFmt w:val="lowerRoman"/>
      <w:start w:val="1"/>
    </w:lvl>
  </w:abstractNum>
  <w:abstractNum w:abstractNumId="141">
    <w:nsid w:val="1816F8C4"/>
    <w:multiLevelType w:val="hybridMultilevel"/>
    <w:lvl w:ilvl="0">
      <w:lvlJc w:val="left"/>
      <w:lvlText w:val="•"/>
      <w:numFmt w:val="bullet"/>
      <w:start w:val="1"/>
    </w:lvl>
  </w:abstractNum>
  <w:abstractNum w:abstractNumId="142">
    <w:nsid w:val="37DF2233"/>
    <w:multiLevelType w:val="hybridMultilevel"/>
    <w:lvl w:ilvl="0">
      <w:lvlJc w:val="left"/>
      <w:lvlText w:val="(%1)"/>
      <w:numFmt w:val="decimal"/>
      <w:start w:val="4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2019-12-28T13:18:19Z</dcterms:created>
  <dcterms:modified xsi:type="dcterms:W3CDTF">2019-12-28T13:18:19Z</dcterms:modified>
</cp:coreProperties>
</file>