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L.B. Foster Company</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000-10436</w:t>
            </w:r>
          </w:p>
        </w:tc>
        <w:tc>
          <w:tcPr>
            <w:tcW w:w="354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93"/>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rPr>
              <w:t>(Commission File Number)</w:t>
            </w:r>
          </w:p>
        </w:tc>
        <w:tc>
          <w:tcPr>
            <w:tcW w:w="3540" w:type="dxa"/>
            <w:vAlign w:val="bottom"/>
          </w:tcPr>
          <w:p>
            <w:pPr>
              <w:jc w:val="center"/>
              <w:ind w:right="8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37"/>
        </w:trPr>
        <w:tc>
          <w:tcPr>
            <w:tcW w:w="364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415 Holiday Drive, Suite 100,</w:t>
            </w:r>
          </w:p>
        </w:tc>
        <w:tc>
          <w:tcPr>
            <w:tcW w:w="4000" w:type="dxa"/>
            <w:vAlign w:val="bottom"/>
          </w:tcPr>
          <w:p>
            <w:pPr>
              <w:spacing w:after="0"/>
              <w:rPr>
                <w:sz w:val="24"/>
                <w:szCs w:val="24"/>
                <w:color w:val="auto"/>
              </w:rPr>
            </w:pPr>
          </w:p>
        </w:tc>
        <w:tc>
          <w:tcPr>
            <w:tcW w:w="3540" w:type="dxa"/>
            <w:vAlign w:val="bottom"/>
          </w:tcPr>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243"/>
        </w:trPr>
        <w:tc>
          <w:tcPr>
            <w:tcW w:w="36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Pittsburgh, Pennsylvania</w:t>
            </w:r>
          </w:p>
        </w:tc>
        <w:tc>
          <w:tcPr>
            <w:tcW w:w="4000" w:type="dxa"/>
            <w:vAlign w:val="bottom"/>
          </w:tcPr>
          <w:p>
            <w:pPr>
              <w:spacing w:after="0"/>
              <w:rPr>
                <w:sz w:val="21"/>
                <w:szCs w:val="21"/>
                <w:color w:val="auto"/>
              </w:rPr>
            </w:pPr>
          </w:p>
        </w:tc>
        <w:tc>
          <w:tcPr>
            <w:tcW w:w="3540" w:type="dxa"/>
            <w:vAlign w:val="bottom"/>
          </w:tcPr>
          <w:p>
            <w:pPr>
              <w:jc w:val="center"/>
              <w:ind w:right="859"/>
              <w:spacing w:after="0"/>
              <w:rPr>
                <w:sz w:val="20"/>
                <w:szCs w:val="20"/>
                <w:color w:val="auto"/>
              </w:rPr>
            </w:pPr>
            <w:r>
              <w:rPr>
                <w:rFonts w:ascii="Times New Roman" w:cs="Times New Roman" w:eastAsia="Times New Roman" w:hAnsi="Times New Roman"/>
                <w:sz w:val="14"/>
                <w:szCs w:val="14"/>
                <w:color w:val="auto"/>
              </w:rPr>
              <w:t>(Zip Code)</w:t>
            </w:r>
          </w:p>
        </w:tc>
      </w:tr>
      <w:tr>
        <w:trPr>
          <w:trHeight w:val="193"/>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541"/>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40" w:type="dxa"/>
            <w:vAlign w:val="bottom"/>
          </w:tcPr>
          <w:p>
            <w:pPr>
              <w:spacing w:after="0"/>
              <w:rPr>
                <w:sz w:val="16"/>
                <w:szCs w:val="16"/>
                <w:color w:val="auto"/>
              </w:rPr>
            </w:pPr>
          </w:p>
        </w:tc>
      </w:tr>
      <w:tr>
        <w:trPr>
          <w:trHeight w:val="446"/>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3540" w:type="dxa"/>
            <w:vAlign w:val="bottom"/>
          </w:tcPr>
          <w:p>
            <w:pPr>
              <w:spacing w:after="0"/>
              <w:rPr>
                <w:sz w:val="16"/>
                <w:szCs w:val="16"/>
                <w:color w:val="auto"/>
              </w:rPr>
            </w:pPr>
          </w:p>
        </w:tc>
      </w:tr>
      <w:tr>
        <w:trPr>
          <w:trHeight w:val="37"/>
        </w:trPr>
        <w:tc>
          <w:tcPr>
            <w:tcW w:w="364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bl>
    <w:p>
      <w:pPr>
        <w:spacing w:after="0" w:line="265" w:lineRule="exact"/>
        <w:rPr>
          <w:sz w:val="24"/>
          <w:szCs w:val="24"/>
          <w:color w:val="auto"/>
        </w:rPr>
      </w:pPr>
    </w:p>
    <w:p>
      <w:pPr>
        <w:ind w:left="60" w:right="6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93" w:lineRule="exact"/>
        <w:rPr>
          <w:sz w:val="24"/>
          <w:szCs w:val="24"/>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80" w:type="dxa"/>
            <w:vAlign w:val="bottom"/>
          </w:tcPr>
          <w:p>
            <w:pPr>
              <w:spacing w:after="0"/>
              <w:rPr>
                <w:sz w:val="16"/>
                <w:szCs w:val="16"/>
                <w:color w:val="auto"/>
              </w:rPr>
            </w:pPr>
          </w:p>
        </w:tc>
      </w:tr>
      <w:tr>
        <w:trPr>
          <w:trHeight w:val="21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FSTR</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6" w:lineRule="exact"/>
        <w:rPr>
          <w:sz w:val="24"/>
          <w:szCs w:val="24"/>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4, 2026, L.B. Foster Company (“Company”) issued a press release announcing the Company’s results of operations for the third quarter ended September 30, 2026. A copy of that press release is furnished with this report as Exhibit 99.1.</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shall not be deemed to be “filed” for the purposes of Section 18 of the Securities and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pacing w:after="0" w:line="3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97"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On November 2, 2026, the Company issued a press release announcing the appointment of Ms. Sara Rolli to Senior Vice President - Steel Products and Operational Excellence concurrent with the appointment of Mr. Bob Ness to Senior Vice President - Precast Concrete Products effective November 1, 2026. A copy of the press release is attached hereto as Exhibit 99.2.</w:t>
      </w:r>
    </w:p>
    <w:p>
      <w:pPr>
        <w:spacing w:after="0" w:line="190"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The information in this Item 7.01, including the exhibit, is furnished and shall not be deemed “filed” for purposes of Section 18 of the Securities Exchange Act of 1934, as amended, or otherwise subject to liabilities under that section, and shall not be deemed to be incorporated by reference into the filings of L.B. Foster under the Securities Act of 1933, as amended, or the Exchange Act, except as expressly set forth by specific reference in such filing.</w:t>
      </w:r>
    </w:p>
    <w:p>
      <w:pPr>
        <w:spacing w:after="0" w:line="1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See Exhibit Index below.</w:t>
            </w:r>
          </w:p>
        </w:tc>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5760" w:type="dxa"/>
            <w:vAlign w:val="bottom"/>
            <w:gridSpan w:val="4"/>
          </w:tcPr>
          <w:p>
            <w:pPr>
              <w:ind w:left="2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34"/>
        </w:trPr>
        <w:tc>
          <w:tcPr>
            <w:tcW w:w="28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2420" w:type="dxa"/>
            <w:vAlign w:val="bottom"/>
            <w:gridSpan w:val="2"/>
          </w:tcPr>
          <w:p>
            <w:pPr>
              <w:spacing w:after="0"/>
              <w:rPr>
                <w:sz w:val="24"/>
                <w:szCs w:val="24"/>
                <w:color w:val="auto"/>
              </w:rPr>
            </w:pPr>
          </w:p>
        </w:tc>
      </w:tr>
      <w:tr>
        <w:trPr>
          <w:trHeight w:val="202"/>
        </w:trPr>
        <w:tc>
          <w:tcPr>
            <w:tcW w:w="2820" w:type="dxa"/>
            <w:vAlign w:val="bottom"/>
          </w:tcPr>
          <w:p>
            <w:pPr>
              <w:jc w:val="center"/>
              <w:ind w:left="650"/>
              <w:spacing w:after="0" w:line="202" w:lineRule="exact"/>
              <w:rPr>
                <w:sz w:val="20"/>
                <w:szCs w:val="20"/>
                <w:color w:val="auto"/>
              </w:rPr>
            </w:pPr>
            <w:r>
              <w:rPr>
                <w:rFonts w:ascii="Times New Roman" w:cs="Times New Roman" w:eastAsia="Times New Roman" w:hAnsi="Times New Roman"/>
                <w:sz w:val="18"/>
                <w:szCs w:val="18"/>
                <w:color w:val="auto"/>
                <w:w w:val="98"/>
              </w:rPr>
              <w:t>*99.1</w:t>
            </w:r>
          </w:p>
        </w:tc>
        <w:tc>
          <w:tcPr>
            <w:tcW w:w="4640" w:type="dxa"/>
            <w:vAlign w:val="bottom"/>
            <w:tcBorders>
              <w:bottom w:val="single" w:sz="8" w:color="0000FF"/>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dated November 4, 2026 of L.B. Foster Company.</w:t>
            </w:r>
          </w:p>
        </w:tc>
        <w:tc>
          <w:tcPr>
            <w:tcW w:w="1120" w:type="dxa"/>
            <w:vAlign w:val="bottom"/>
          </w:tcPr>
          <w:p>
            <w:pPr>
              <w:spacing w:after="0"/>
              <w:rPr>
                <w:sz w:val="17"/>
                <w:szCs w:val="17"/>
                <w:color w:val="auto"/>
              </w:rPr>
            </w:pPr>
          </w:p>
        </w:tc>
      </w:tr>
      <w:tr>
        <w:trPr>
          <w:trHeight w:val="480"/>
        </w:trPr>
        <w:tc>
          <w:tcPr>
            <w:tcW w:w="28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*99.2</w:t>
            </w:r>
          </w:p>
        </w:tc>
        <w:tc>
          <w:tcPr>
            <w:tcW w:w="4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Press Release dated November 2, 2026 of L.B. Foster Company.</w:t>
            </w:r>
          </w:p>
        </w:tc>
        <w:tc>
          <w:tcPr>
            <w:tcW w:w="1120" w:type="dxa"/>
            <w:vAlign w:val="bottom"/>
          </w:tcPr>
          <w:p>
            <w:pPr>
              <w:spacing w:after="0"/>
              <w:rPr>
                <w:sz w:val="24"/>
                <w:szCs w:val="24"/>
                <w:color w:val="auto"/>
              </w:rPr>
            </w:pPr>
          </w:p>
        </w:tc>
      </w:tr>
      <w:tr>
        <w:trPr>
          <w:trHeight w:val="520"/>
        </w:trPr>
        <w:tc>
          <w:tcPr>
            <w:tcW w:w="28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*104</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3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*Exhibits marked with an asterisk are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u w:val="single" w:color="auto"/>
          <w:color w:val="auto"/>
        </w:rPr>
        <w:t>L.B. FOSTER COMPANY</w:t>
      </w:r>
    </w:p>
    <w:p>
      <w:pPr>
        <w:spacing w:after="0" w:line="4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(Registrant)</w:t>
      </w:r>
    </w:p>
    <w:p>
      <w:pPr>
        <w:spacing w:after="0" w:line="289" w:lineRule="exact"/>
        <w:rPr>
          <w:sz w:val="20"/>
          <w:szCs w:val="20"/>
          <w:color w:val="auto"/>
        </w:rPr>
      </w:pPr>
    </w:p>
    <w:p>
      <w:pPr>
        <w:ind w:left="220"/>
        <w:spacing w:after="0"/>
        <w:tabs>
          <w:tab w:leader="none" w:pos="1280" w:val="left"/>
          <w:tab w:leader="none" w:pos="74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November 4, 2026</w:t>
      </w:r>
      <w:r>
        <w:rPr>
          <w:sz w:val="20"/>
          <w:szCs w:val="20"/>
          <w:color w:val="auto"/>
        </w:rPr>
        <w:tab/>
      </w:r>
      <w:r>
        <w:rPr>
          <w:rFonts w:ascii="Times New Roman" w:cs="Times New Roman" w:eastAsia="Times New Roman" w:hAnsi="Times New Roman"/>
          <w:sz w:val="17"/>
          <w:szCs w:val="17"/>
          <w:b w:val="1"/>
          <w:bCs w:val="1"/>
          <w:u w:val="single" w:color="auto"/>
          <w:color w:val="auto"/>
        </w:rPr>
        <w:t>/s/ Sean M. Reilly</w:t>
      </w:r>
    </w:p>
    <w:p>
      <w:pPr>
        <w:spacing w:after="0" w:line="4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Sean M. Reilly</w:t>
      </w:r>
    </w:p>
    <w:p>
      <w:pPr>
        <w:spacing w:after="0" w:line="3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3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3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(Duly Authorized Officer of Registrant)</w:t>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411480</wp:posOffset>
            </wp:positionV>
            <wp:extent cx="2057400"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0"/>
        <w:spacing w:after="0"/>
        <w:rPr>
          <w:sz w:val="20"/>
          <w:szCs w:val="20"/>
          <w:color w:val="auto"/>
        </w:rPr>
      </w:pPr>
      <w:r>
        <w:rPr>
          <w:rFonts w:ascii="Arial" w:cs="Arial" w:eastAsia="Arial" w:hAnsi="Arial"/>
          <w:sz w:val="25"/>
          <w:szCs w:val="25"/>
          <w:b w:val="1"/>
          <w:bCs w:val="1"/>
          <w:color w:val="auto"/>
        </w:rPr>
        <w:t>News Release</w:t>
      </w:r>
    </w:p>
    <w:p>
      <w:pPr>
        <w:spacing w:after="0" w:line="200" w:lineRule="exact"/>
        <w:rPr>
          <w:sz w:val="20"/>
          <w:szCs w:val="20"/>
          <w:color w:val="auto"/>
        </w:rPr>
      </w:pPr>
    </w:p>
    <w:p>
      <w:pPr>
        <w:spacing w:after="0" w:line="296" w:lineRule="exact"/>
        <w:rPr>
          <w:sz w:val="20"/>
          <w:szCs w:val="20"/>
          <w:color w:val="auto"/>
        </w:rPr>
      </w:pPr>
    </w:p>
    <w:p>
      <w:pPr>
        <w:jc w:val="center"/>
        <w:spacing w:after="0" w:line="332" w:lineRule="auto"/>
        <w:rPr>
          <w:sz w:val="20"/>
          <w:szCs w:val="20"/>
          <w:color w:val="auto"/>
        </w:rPr>
      </w:pPr>
      <w:r>
        <w:rPr>
          <w:rFonts w:ascii="Arial" w:cs="Arial" w:eastAsia="Arial" w:hAnsi="Arial"/>
          <w:sz w:val="25"/>
          <w:szCs w:val="25"/>
          <w:b w:val="1"/>
          <w:bCs w:val="1"/>
          <w:color w:val="auto"/>
        </w:rPr>
        <w:t>L.B. Foster Announces Third Quarter Results Reflecting Strong Sales and Profitability Growth; Finishes Quarter with Lowest Debt Level in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Unless otherwise noted, all comparisons are to the third quarter of 2025.</w:t>
      </w:r>
    </w:p>
    <w:p>
      <w:pPr>
        <w:spacing w:after="0" w:line="282"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Third quarter sales increased 21.5% to $168.0 million; gross profit up $3.4 million or 10.8%</w:t>
      </w:r>
    </w:p>
    <w:p>
      <w:pPr>
        <w:spacing w:after="0" w:line="144"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Third quarter net income grew 56.5% to $6.8 million; Adjusted EBITDA</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up 15.1% to $13.1 million</w:t>
      </w:r>
    </w:p>
    <w:p>
      <w:pPr>
        <w:spacing w:after="0" w:line="100"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First nine months sales increased 12.7% to $427.7 million; gross profit up $8.9 million or 10.8%</w:t>
      </w:r>
    </w:p>
    <w:p>
      <w:pPr>
        <w:spacing w:after="0" w:line="144"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First nine months net income grew 125.4% to $11.4 million; Adjusted EBITDA up 17.6% to $29.9 million</w:t>
      </w:r>
    </w:p>
    <w:p>
      <w:pPr>
        <w:spacing w:after="0" w:line="157"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Generated quarterly operating cash flow of $23.6 million with total debt for the quarter at $28.7 million</w:t>
      </w:r>
    </w:p>
    <w:p>
      <w:pPr>
        <w:spacing w:after="0" w:line="139"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Gross Leverage Ratio</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improved 1.0x turns year over year, ending the quarter at 0.6x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PITTSBURGH, PA, November 4, 2026 – L.B. Foster Company (Nasdaq: FSTR), a global technology solutions provider of products and services for the rail and infrastructure markets (the "Company"), today reported its 2026 third quarter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2026 Highlights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center"/>
              <w:ind w:right="73"/>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color w:val="auto"/>
              </w:rPr>
              <w:t>September 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2026</w:t>
            </w:r>
          </w:p>
        </w:tc>
        <w:tc>
          <w:tcPr>
            <w:tcW w:w="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2025</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250"/>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 in thousands, unless otherwise noted:</w:t>
            </w:r>
          </w:p>
        </w:tc>
        <w:tc>
          <w:tcPr>
            <w:tcW w:w="300" w:type="dxa"/>
            <w:vAlign w:val="bottom"/>
          </w:tcPr>
          <w:p>
            <w:pPr>
              <w:spacing w:after="0"/>
              <w:rPr>
                <w:sz w:val="21"/>
                <w:szCs w:val="21"/>
                <w:color w:val="auto"/>
              </w:rPr>
            </w:pPr>
          </w:p>
        </w:tc>
        <w:tc>
          <w:tcPr>
            <w:tcW w:w="1420" w:type="dxa"/>
            <w:vAlign w:val="bottom"/>
            <w:gridSpan w:val="4"/>
          </w:tcPr>
          <w:p>
            <w:pPr>
              <w:jc w:val="center"/>
              <w:ind w:left="574"/>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167,996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4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55.4 %</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13,075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11,359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23,553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20,830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28,690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Gross Leverage Ratio</w:t>
            </w:r>
            <w:r>
              <w:rPr>
                <w:rFonts w:ascii="Arial" w:cs="Arial" w:eastAsia="Arial" w:hAnsi="Arial"/>
                <w:sz w:val="23"/>
                <w:szCs w:val="23"/>
                <w:color w:val="auto"/>
                <w:vertAlign w:val="superscript"/>
              </w:rPr>
              <w:t>1</w:t>
            </w:r>
          </w:p>
        </w:tc>
        <w:tc>
          <w:tcPr>
            <w:tcW w:w="30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0.6x</w:t>
            </w:r>
          </w:p>
        </w:tc>
        <w:tc>
          <w:tcPr>
            <w:tcW w:w="3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93"/>
              </w:rPr>
              <w:t>1.6x</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(1.0)x</w:t>
            </w:r>
          </w:p>
        </w:tc>
        <w:tc>
          <w:tcPr>
            <w:tcW w:w="0" w:type="dxa"/>
            <w:vAlign w:val="bottom"/>
          </w:tcPr>
          <w:p>
            <w:pPr>
              <w:spacing w:after="0"/>
              <w:rPr>
                <w:sz w:val="1"/>
                <w:szCs w:val="1"/>
                <w:color w:val="auto"/>
              </w:rPr>
            </w:pPr>
          </w:p>
        </w:tc>
      </w:tr>
      <w:tr>
        <w:trPr>
          <w:trHeight w:val="243"/>
        </w:trPr>
        <w:tc>
          <w:tcPr>
            <w:tcW w:w="70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New orders, net</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155,759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114,776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3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234,741</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247,416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5"/>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Financial Guidance</w:t>
            </w:r>
          </w:p>
        </w:tc>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2026 Full Year Financial Guidance Update</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gridSpan w:val="2"/>
            <w:vMerge w:val="continue"/>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Low</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237"/>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8"/>
              </w:rPr>
              <w:t>570,000</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590,000</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42,000</w:t>
            </w:r>
          </w:p>
        </w:tc>
        <w:tc>
          <w:tcPr>
            <w:tcW w:w="4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4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spending as a percent of sales</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7"/>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Comments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John Kasel, President and Chief Executive Officer, commented, "We started the second half of the year with strong momentum, delivering meaningful growth in sales, profitability, and cash generation during the third quarter. Sales increased 21.5% over the prior year quarter, reflecting strong growth across both segments, while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15.1%. Gross profit expanded $3.4 million during the quarter despite a decline in gross margin of 200 bps</w:t>
      </w:r>
    </w:p>
    <w:p>
      <w:pPr>
        <w:sectPr>
          <w:pgSz w:w="11900" w:h="16838" w:orient="portrait"/>
          <w:cols w:equalWidth="0" w:num="1">
            <w:col w:w="11240"/>
          </w:cols>
          <w:pgMar w:left="320" w:top="122" w:right="339" w:bottom="1440" w:gutter="0" w:footer="0" w:header="0"/>
        </w:sectPr>
      </w:pPr>
    </w:p>
    <w:p>
      <w:pPr>
        <w:spacing w:after="0" w:line="197" w:lineRule="exact"/>
        <w:rPr>
          <w:sz w:val="20"/>
          <w:szCs w:val="20"/>
          <w:color w:val="auto"/>
        </w:rPr>
      </w:pPr>
    </w:p>
    <w:p>
      <w:pPr>
        <w:ind w:firstLine="8"/>
        <w:spacing w:after="0" w:line="224" w:lineRule="auto"/>
        <w:tabs>
          <w:tab w:leader="none" w:pos="84"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"Non-GAAP Disclosures" at the end of this press release for a description of and information regarding EBITDA, Adjusted EBITDA, gross leverage ratio per the Company's credit agreement, new orders, net, backlog, book-to-bill ratio, free cash flow, and related reconciliations to the comparable United States Generally Accepted Accounting Principles financial measures.</w:t>
      </w:r>
    </w:p>
    <w:p>
      <w:pPr>
        <w:sectPr>
          <w:pgSz w:w="11900" w:h="16838" w:orient="portrait"/>
          <w:cols w:equalWidth="0" w:num="1">
            <w:col w:w="11240"/>
          </w:cols>
          <w:pgMar w:left="320" w:top="122" w:right="339" w:bottom="1440" w:gutter="0" w:footer="0" w:header="0"/>
          <w:type w:val="continuous"/>
        </w:sectPr>
      </w:pPr>
    </w:p>
    <w:bookmarkStart w:id="4" w:name="page5"/>
    <w:bookmarkEnd w:id="4"/>
    <w:p>
      <w:pPr>
        <w:jc w:val="both"/>
        <w:spacing w:after="0" w:line="261" w:lineRule="auto"/>
        <w:rPr>
          <w:sz w:val="20"/>
          <w:szCs w:val="20"/>
          <w:color w:val="auto"/>
        </w:rPr>
      </w:pPr>
      <w:r>
        <w:rPr>
          <w:rFonts w:ascii="Arial" w:cs="Arial" w:eastAsia="Arial" w:hAnsi="Arial"/>
          <w:sz w:val="18"/>
          <w:szCs w:val="18"/>
          <w:color w:val="auto"/>
        </w:rPr>
        <w:t>to 20.5%. The margin decrease was primarily attributable to business mix within Rail, Technologies, and Services ("Rail"), reflecting stronger sales growth in the lower-margin Rail Distribution and UK businesses. Additionally, selling and administrative expense as a percentage of sales declined 190 bps to 14.1% reflecting continued operating discipline and sales growth. On a year-to-date basis, we are pleased with our sales growth of $48.1 million or 12.7% with growth occurring in both segments. This growth helped drive a $4.5 million, or 17.6%, expansion in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 the prior year."</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Kasel continued, "Our third quarter operating cash flow of $23.6 million enabled us to reduce total debt by $ 19.3 million during the quarter and by $30.0 million compared to the prior year quarter, to the lowest level in over a decade. The continued strengthening of our balance sheet provides additional financial flexibility and positions us well to pursue our strategic growth initiatives. Consistent with that strategy, as reported in our press release dated October 29, 2026, we completed the acquisition of the operating assets of the residential wastewater precast business and the Aeris aerobic treatment systems platform of Dulworth Enterprises Inc. ("Dulworth") on October 28, 2026 for approximately $52.2 million. Our revised guidance assumes no material impact from this acquisition and excludes any impacts of purchase accounting adjustments and transaction-related costs."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Kasel concluded, "We continue to see healthy customer demand, particularly across our Rail Distribution and UK businesses, driving year-over-year growth in new orders and supporting an increase in our full-year sales outlook. Additionally, we are narrowing our full-year guidance range for Adjusted EBITDA and increasing our Free Cash Flow range to reflect our current business mix and operating conditions. As we enter the final quarter of the year, we remain focused on disciplined execution, cash generation, and integrating Dulworth."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2026 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third quarter performance highlights are reflected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color w:val="auto"/>
              </w:rPr>
              <w:t>Change</w:t>
            </w:r>
          </w:p>
        </w:tc>
        <w:tc>
          <w:tcPr>
            <w:tcW w:w="100" w:type="dxa"/>
            <w:vAlign w:val="bottom"/>
            <w:vMerge w:val="restart"/>
          </w:tcPr>
          <w:p>
            <w:pPr>
              <w:spacing w:after="0"/>
              <w:rPr>
                <w:sz w:val="14"/>
                <w:szCs w:val="14"/>
                <w:color w:val="auto"/>
              </w:rPr>
            </w:pPr>
          </w:p>
        </w:tc>
        <w:tc>
          <w:tcPr>
            <w:tcW w:w="1380" w:type="dxa"/>
            <w:vAlign w:val="bottom"/>
            <w:vMerge w:val="restart"/>
          </w:tcPr>
          <w:p>
            <w:pPr>
              <w:jc w:val="right"/>
              <w:ind w:right="73"/>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2026 vs. 2025</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4"/>
                <w:szCs w:val="14"/>
                <w:color w:val="auto"/>
              </w:rPr>
              <w:t>$ in thousands, unless otherwise noted:</w:t>
            </w:r>
          </w:p>
        </w:tc>
        <w:tc>
          <w:tcPr>
            <w:tcW w:w="340" w:type="dxa"/>
            <w:vAlign w:val="bottom"/>
          </w:tcPr>
          <w:p>
            <w:pPr>
              <w:spacing w:after="0"/>
              <w:rPr>
                <w:sz w:val="21"/>
                <w:szCs w:val="21"/>
                <w:color w:val="auto"/>
              </w:rPr>
            </w:pPr>
          </w:p>
        </w:tc>
        <w:tc>
          <w:tcPr>
            <w:tcW w:w="1660" w:type="dxa"/>
            <w:vAlign w:val="bottom"/>
            <w:gridSpan w:val="3"/>
          </w:tcPr>
          <w:p>
            <w:pPr>
              <w:jc w:val="center"/>
              <w:ind w:left="515"/>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167,996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138,286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34,426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31,066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(200) bps</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23,729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22,077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 as a percent of sales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(190) bps</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10,080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8,295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340" w:type="dxa"/>
            <w:vAlign w:val="bottom"/>
          </w:tcPr>
          <w:p>
            <w:pPr>
              <w:spacing w:after="0"/>
              <w:rPr>
                <w:sz w:val="21"/>
                <w:szCs w:val="21"/>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6,764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1"/>
                <w:szCs w:val="21"/>
                <w:color w:val="auto"/>
              </w:rPr>
            </w:pP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13,075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11,359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line="243" w:lineRule="exact"/>
              <w:rPr>
                <w:sz w:val="20"/>
                <w:szCs w:val="20"/>
                <w:color w:val="auto"/>
              </w:rPr>
            </w:pPr>
            <w:r>
              <w:rPr>
                <w:rFonts w:ascii="Arial" w:cs="Arial" w:eastAsia="Arial" w:hAnsi="Arial"/>
                <w:sz w:val="18"/>
                <w:szCs w:val="18"/>
                <w:color w:val="auto"/>
              </w:rPr>
              <w:t>New orders, net</w:t>
            </w:r>
            <w:r>
              <w:rPr>
                <w:rFonts w:ascii="Arial" w:cs="Arial" w:eastAsia="Arial" w:hAnsi="Arial"/>
                <w:sz w:val="23"/>
                <w:szCs w:val="23"/>
                <w:color w:val="auto"/>
                <w:vertAlign w:val="superscript"/>
              </w:rPr>
              <w:t>1</w:t>
            </w:r>
          </w:p>
        </w:tc>
        <w:tc>
          <w:tcPr>
            <w:tcW w:w="340" w:type="dxa"/>
            <w:vAlign w:val="bottom"/>
          </w:tcPr>
          <w:p>
            <w:pPr>
              <w:spacing w:after="0"/>
              <w:rPr>
                <w:sz w:val="21"/>
                <w:szCs w:val="21"/>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155,759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114,776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40,983</w:t>
            </w:r>
          </w:p>
        </w:tc>
        <w:tc>
          <w:tcPr>
            <w:tcW w:w="100" w:type="dxa"/>
            <w:vAlign w:val="bottom"/>
          </w:tcPr>
          <w:p>
            <w:pPr>
              <w:spacing w:after="0"/>
              <w:rPr>
                <w:sz w:val="21"/>
                <w:szCs w:val="21"/>
                <w:color w:val="auto"/>
              </w:rPr>
            </w:pP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234,741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247,416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700" w:hanging="332"/>
        <w:spacing w:after="0" w:line="28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for the 2026 third quarter increased $29.7 million, or 21.5%, over the prior year quarter, driven by higher sales in both segments. Rail increased $25.1 million, or 32.3%, while Infrastructure increased $4.6 million, or 7.6%.</w:t>
      </w:r>
    </w:p>
    <w:p>
      <w:pPr>
        <w:spacing w:after="0" w:line="179" w:lineRule="exact"/>
        <w:rPr>
          <w:rFonts w:ascii="Arial" w:cs="Arial" w:eastAsia="Arial" w:hAnsi="Arial"/>
          <w:sz w:val="18"/>
          <w:szCs w:val="18"/>
          <w:color w:val="auto"/>
        </w:rPr>
      </w:pPr>
    </w:p>
    <w:p>
      <w:pPr>
        <w:jc w:val="both"/>
        <w:ind w:left="700" w:hanging="332"/>
        <w:spacing w:after="0" w:line="262"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for the 2026 third quarter improved by $3.4 million or 10.8% over the prior year quarter. Rail gross profit increased $2.4 million and Infrastructure gross profit increased $0.9 million driven by improved volumes in both segments. Gross margins declined 200 basis points to 20.5% driven by business mix in Rail due to sales growth in our lower-margin Rail Distribution and UK businesses.</w:t>
      </w:r>
    </w:p>
    <w:p>
      <w:pPr>
        <w:spacing w:after="0" w:line="203" w:lineRule="exact"/>
        <w:rPr>
          <w:rFonts w:ascii="Arial" w:cs="Arial" w:eastAsia="Arial" w:hAnsi="Arial"/>
          <w:sz w:val="18"/>
          <w:szCs w:val="18"/>
          <w:color w:val="auto"/>
        </w:rPr>
      </w:pPr>
    </w:p>
    <w:p>
      <w:pPr>
        <w:jc w:val="both"/>
        <w:ind w:left="700" w:hanging="332"/>
        <w:spacing w:after="0" w:line="268"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and administrative expenses for the 2026 third quarter increased $1.7 million, or 7.5%, over the prior year quarter, primarily due to increased employment costs, including higher variable incentive-based compensation costs and medical costs. Selling and administrative expenses as a percentage of net sales decreased 190 basis points to 14.1%.</w:t>
      </w:r>
    </w:p>
    <w:p>
      <w:pPr>
        <w:sectPr>
          <w:pgSz w:w="11900" w:h="16838" w:orient="portrait"/>
          <w:cols w:equalWidth="0" w:num="1">
            <w:col w:w="11240"/>
          </w:cols>
          <w:pgMar w:left="320" w:top="931" w:right="339" w:bottom="1440" w:gutter="0" w:footer="0" w:header="0"/>
        </w:sectPr>
      </w:pPr>
    </w:p>
    <w:bookmarkStart w:id="5" w:name="page6"/>
    <w:bookmarkEnd w:id="5"/>
    <w:p>
      <w:pPr>
        <w:ind w:left="700" w:hanging="332"/>
        <w:spacing w:after="0" w:line="28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for the 2026 third quarter increased $1.8 million, or 21.5%, over the prior year quarter. The increase was driven by improved gross profit offset in part by higher selling and administrative costs.</w:t>
      </w:r>
    </w:p>
    <w:p>
      <w:pPr>
        <w:spacing w:after="0" w:line="179" w:lineRule="exact"/>
        <w:rPr>
          <w:rFonts w:ascii="Arial" w:cs="Arial" w:eastAsia="Arial" w:hAnsi="Arial"/>
          <w:sz w:val="18"/>
          <w:szCs w:val="18"/>
          <w:color w:val="auto"/>
        </w:rPr>
      </w:pPr>
    </w:p>
    <w:p>
      <w:pPr>
        <w:ind w:left="700" w:right="20" w:hanging="332"/>
        <w:spacing w:after="0" w:line="28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attributable to the Company for the 2026 third quarter improved $2.4 million, or 55.4%, over the prior year quarter due to improved operating income, reduced interest expense, and a lower income tax expense.</w:t>
      </w:r>
    </w:p>
    <w:p>
      <w:pPr>
        <w:spacing w:after="0" w:line="179" w:lineRule="exact"/>
        <w:rPr>
          <w:rFonts w:ascii="Arial" w:cs="Arial" w:eastAsia="Arial" w:hAnsi="Arial"/>
          <w:sz w:val="18"/>
          <w:szCs w:val="18"/>
          <w:color w:val="auto"/>
        </w:rPr>
      </w:pPr>
    </w:p>
    <w:p>
      <w:pPr>
        <w:ind w:left="680" w:hanging="31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for the 2026 third quarter increased $1.7 million, or 15.1%, over the prior year quarter.</w:t>
      </w:r>
    </w:p>
    <w:p>
      <w:pPr>
        <w:spacing w:after="0" w:line="252" w:lineRule="exact"/>
        <w:rPr>
          <w:rFonts w:ascii="Arial" w:cs="Arial" w:eastAsia="Arial" w:hAnsi="Arial"/>
          <w:sz w:val="18"/>
          <w:szCs w:val="18"/>
          <w:color w:val="auto"/>
        </w:rPr>
      </w:pPr>
    </w:p>
    <w:p>
      <w:pPr>
        <w:ind w:left="700" w:hanging="332"/>
        <w:spacing w:after="0" w:line="28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provided by operating activities totaled $23.6 million in the 2026 third quarter, unfavorable $5.6 million compared to $29.2 million in the prior year quarter.</w:t>
      </w:r>
    </w:p>
    <w:p>
      <w:pPr>
        <w:spacing w:after="0" w:line="166" w:lineRule="exact"/>
        <w:rPr>
          <w:rFonts w:ascii="Arial" w:cs="Arial" w:eastAsia="Arial" w:hAnsi="Arial"/>
          <w:sz w:val="18"/>
          <w:szCs w:val="18"/>
          <w:color w:val="auto"/>
        </w:rPr>
      </w:pPr>
    </w:p>
    <w:p>
      <w:pPr>
        <w:jc w:val="both"/>
        <w:ind w:left="700" w:hanging="332"/>
        <w:spacing w:after="0" w:line="24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debt as of September 30, 2026 was $28.7 million, decreasing by $30.0 million from the prior year quarter and by $19.3 million during the quarter. The reduction is due to strong Free Cash Flow generation and lower working capital requirements during the period. The Company's Gross Leverage Ratio per its credit facility was 0.6x as of September 30, 2026, down from 1.6x last year, reflecting higher profitability and lower working capital.</w:t>
      </w:r>
    </w:p>
    <w:p>
      <w:pPr>
        <w:spacing w:after="0" w:line="214" w:lineRule="exact"/>
        <w:rPr>
          <w:rFonts w:ascii="Arial" w:cs="Arial" w:eastAsia="Arial" w:hAnsi="Arial"/>
          <w:sz w:val="18"/>
          <w:szCs w:val="18"/>
          <w:color w:val="auto"/>
        </w:rPr>
      </w:pPr>
    </w:p>
    <w:p>
      <w:pPr>
        <w:jc w:val="both"/>
        <w:ind w:left="700" w:hanging="332"/>
        <w:spacing w:after="0" w:line="242"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orders, net for the 2026 third quarter increased $41.0 million, or 35.7%, over the prior year quarter, reflecting growth in Infrastructure and due to a $19 million order that was cancelled in the prior year. The trailing twelve month book-to-bill ratio</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0.98 : 1.00. Backlog decreased $12.7 million, or 5.1%, from the prior year quarter, as a 9.8% decline in Rail backlog more than offset a modest 1.0% increase in Infrastructure backlog. Sequentially, backlog decreased $11.4 million, or 4.6%, primarily due to higher sales volumes and seasonally lower order activity.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2026 Business 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Rail, Technologies, and Services Segment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120" w:type="dxa"/>
            <w:vAlign w:val="bottom"/>
            <w:vMerge w:val="restart"/>
          </w:tcPr>
          <w:p>
            <w:pPr>
              <w:jc w:val="center"/>
              <w:ind w:right="54"/>
              <w:spacing w:after="0"/>
              <w:rPr>
                <w:sz w:val="20"/>
                <w:szCs w:val="20"/>
                <w:color w:val="auto"/>
              </w:rPr>
            </w:pPr>
            <w:r>
              <w:rPr>
                <w:rFonts w:ascii="Arial" w:cs="Arial" w:eastAsia="Arial" w:hAnsi="Arial"/>
                <w:sz w:val="14"/>
                <w:szCs w:val="14"/>
                <w:color w:val="auto"/>
              </w:rPr>
              <w:t>Change</w:t>
            </w:r>
          </w:p>
        </w:tc>
        <w:tc>
          <w:tcPr>
            <w:tcW w:w="80" w:type="dxa"/>
            <w:vAlign w:val="bottom"/>
            <w:vMerge w:val="restart"/>
          </w:tcPr>
          <w:p>
            <w:pPr>
              <w:spacing w:after="0"/>
              <w:rPr>
                <w:sz w:val="14"/>
                <w:szCs w:val="14"/>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20"/>
              <w:spacing w:after="0"/>
              <w:rPr>
                <w:sz w:val="20"/>
                <w:szCs w:val="20"/>
                <w:color w:val="auto"/>
              </w:rPr>
            </w:pPr>
            <w:r>
              <w:rPr>
                <w:rFonts w:ascii="Arial" w:cs="Arial" w:eastAsia="Arial" w:hAnsi="Arial"/>
                <w:sz w:val="14"/>
                <w:szCs w:val="14"/>
                <w:color w:val="auto"/>
              </w:rPr>
              <w:t>$ in thousands, unless otherwise noted:</w:t>
            </w:r>
          </w:p>
        </w:tc>
        <w:tc>
          <w:tcPr>
            <w:tcW w:w="320" w:type="dxa"/>
            <w:vAlign w:val="bottom"/>
          </w:tcPr>
          <w:p>
            <w:pPr>
              <w:spacing w:after="0"/>
              <w:rPr>
                <w:sz w:val="17"/>
                <w:szCs w:val="17"/>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rPr>
              <w:t>2026 vs. 2025</w:t>
            </w:r>
          </w:p>
        </w:tc>
        <w:tc>
          <w:tcPr>
            <w:tcW w:w="1400" w:type="dxa"/>
            <w:vAlign w:val="bottom"/>
          </w:tcPr>
          <w:p>
            <w:pPr>
              <w:jc w:val="right"/>
              <w:ind w:right="154"/>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24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102,921</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77,788</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25,133</w:t>
            </w:r>
          </w:p>
        </w:tc>
        <w:tc>
          <w:tcPr>
            <w:tcW w:w="8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20,181</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17,746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margin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 bps</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7,890</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operating income margin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bps</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line="243" w:lineRule="exact"/>
              <w:rPr>
                <w:sz w:val="20"/>
                <w:szCs w:val="20"/>
                <w:color w:val="auto"/>
              </w:rPr>
            </w:pPr>
            <w:r>
              <w:rPr>
                <w:rFonts w:ascii="Arial" w:cs="Arial" w:eastAsia="Arial" w:hAnsi="Arial"/>
                <w:sz w:val="18"/>
                <w:szCs w:val="18"/>
                <w:color w:val="auto"/>
              </w:rPr>
              <w:t>New orders, net</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87,099</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86,360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21"/>
                <w:szCs w:val="21"/>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126,443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140,233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for the 2026 third quarter increased $25.1 million, or 32.3%, over the prior year quarter. Rail Products sales increased $24.4 million, or 54.6%, due to higher volumes across all of our Rail Products businesses. Technology Services and Solutions ("TS&amp;S") sales also increased $2.7 million, or 22.7%, driven by short-term project work in the UK. These increases were partially offset by a decline in Global Friction Management of $1.9 million, or 9.0%, due to project timing, as certain projects were executed in the first half of the year.</w:t>
      </w:r>
    </w:p>
    <w:p>
      <w:pPr>
        <w:spacing w:after="0" w:line="20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the 2026 third quarter increased $2.4 million, or 13.7%, over the prior year quarter, primarily driven by higher sales within Rail Products which contributed $2.5 million. TS&amp;S gross profit increased $0.9 million, reflecting improved volumes and favorable business mix. These improvements were partially offset by a gross profit decline of $1.0 million in Global Friction Management due to lower volumes. Gross margin declined 320 basis points to 19.6% reflecting unfavorable sales mix resulting from significant sales growth in our lower-margin Rail Distribution and UK businesses.</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operating income for the 2026 third quarter increased $2.0 million, or 33.8%, over the prior year quarter driven by the increase in gross profit partially offset by increased selling and administrative expenses.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orders, net for the 2026 third quarter increased $0.7 million, or 0.9%, over the prior year quarter, as strong order activity in Rail Products, which increased 55.0%, more than offset declines of 10.2% in Global</w:t>
      </w:r>
    </w:p>
    <w:p>
      <w:pPr>
        <w:sectPr>
          <w:pgSz w:w="11900" w:h="16838" w:orient="portrait"/>
          <w:cols w:equalWidth="0" w:num="1">
            <w:col w:w="11240"/>
          </w:cols>
          <w:pgMar w:left="320" w:top="931" w:right="339" w:bottom="1440" w:gutter="0" w:footer="0" w:header="0"/>
        </w:sectPr>
      </w:pPr>
    </w:p>
    <w:bookmarkStart w:id="6" w:name="page7"/>
    <w:bookmarkEnd w:id="6"/>
    <w:p>
      <w:pPr>
        <w:jc w:val="both"/>
        <w:ind w:left="660"/>
        <w:spacing w:after="0" w:line="237" w:lineRule="auto"/>
        <w:rPr>
          <w:sz w:val="20"/>
          <w:szCs w:val="20"/>
          <w:color w:val="auto"/>
        </w:rPr>
      </w:pPr>
      <w:r>
        <w:rPr>
          <w:rFonts w:ascii="Arial" w:cs="Arial" w:eastAsia="Arial" w:hAnsi="Arial"/>
          <w:sz w:val="18"/>
          <w:szCs w:val="18"/>
          <w:color w:val="auto"/>
        </w:rPr>
        <w:t>Friction Management. TS&amp;S orders declined 59.7% due to a large order received in our UK business in the prior year. The trailing twelve month book-to-bill ratio</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0.96 : 1.00. Backlog decreased $13.8 million from the prior year quarter due to higher sales volumes in the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Infrastructure Solutions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120" w:type="dxa"/>
            <w:vAlign w:val="bottom"/>
            <w:vMerge w:val="restart"/>
          </w:tcPr>
          <w:p>
            <w:pPr>
              <w:jc w:val="center"/>
              <w:ind w:right="54"/>
              <w:spacing w:after="0"/>
              <w:rPr>
                <w:sz w:val="20"/>
                <w:szCs w:val="20"/>
                <w:color w:val="auto"/>
              </w:rPr>
            </w:pPr>
            <w:r>
              <w:rPr>
                <w:rFonts w:ascii="Arial" w:cs="Arial" w:eastAsia="Arial" w:hAnsi="Arial"/>
                <w:sz w:val="14"/>
                <w:szCs w:val="14"/>
                <w:color w:val="auto"/>
              </w:rPr>
              <w:t>Change</w:t>
            </w:r>
          </w:p>
        </w:tc>
        <w:tc>
          <w:tcPr>
            <w:tcW w:w="80" w:type="dxa"/>
            <w:vAlign w:val="bottom"/>
            <w:vMerge w:val="restart"/>
          </w:tcPr>
          <w:p>
            <w:pPr>
              <w:spacing w:after="0"/>
              <w:rPr>
                <w:sz w:val="14"/>
                <w:szCs w:val="14"/>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80" w:type="dxa"/>
            <w:vAlign w:val="bottom"/>
          </w:tcPr>
          <w:p>
            <w:pPr>
              <w:ind w:left="20"/>
              <w:spacing w:after="0"/>
              <w:rPr>
                <w:sz w:val="20"/>
                <w:szCs w:val="20"/>
                <w:color w:val="auto"/>
              </w:rPr>
            </w:pPr>
            <w:r>
              <w:rPr>
                <w:rFonts w:ascii="Arial" w:cs="Arial" w:eastAsia="Arial" w:hAnsi="Arial"/>
                <w:sz w:val="14"/>
                <w:szCs w:val="14"/>
                <w:color w:val="auto"/>
              </w:rPr>
              <w:t>$ in thousands, unless otherwise noted:</w:t>
            </w:r>
          </w:p>
        </w:tc>
        <w:tc>
          <w:tcPr>
            <w:tcW w:w="320" w:type="dxa"/>
            <w:vAlign w:val="bottom"/>
          </w:tcPr>
          <w:p>
            <w:pPr>
              <w:spacing w:after="0"/>
              <w:rPr>
                <w:sz w:val="17"/>
                <w:szCs w:val="17"/>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rPr>
              <w:t>2026 vs. 2025</w:t>
            </w:r>
          </w:p>
        </w:tc>
        <w:tc>
          <w:tcPr>
            <w:tcW w:w="1400" w:type="dxa"/>
            <w:vAlign w:val="bottom"/>
          </w:tcPr>
          <w:p>
            <w:pPr>
              <w:jc w:val="right"/>
              <w:ind w:right="154"/>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24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65,075</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60,498</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8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14,245</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13,320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margin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(10) bps</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4,373</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operating income margin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 bps</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line="243" w:lineRule="exact"/>
              <w:rPr>
                <w:sz w:val="20"/>
                <w:szCs w:val="20"/>
                <w:color w:val="auto"/>
              </w:rPr>
            </w:pPr>
            <w:r>
              <w:rPr>
                <w:rFonts w:ascii="Arial" w:cs="Arial" w:eastAsia="Arial" w:hAnsi="Arial"/>
                <w:sz w:val="18"/>
                <w:szCs w:val="18"/>
                <w:color w:val="auto"/>
              </w:rPr>
              <w:t>New orders, net</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68,660</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28,416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40,244</w:t>
            </w:r>
          </w:p>
        </w:tc>
        <w:tc>
          <w:tcPr>
            <w:tcW w:w="80" w:type="dxa"/>
            <w:vAlign w:val="bottom"/>
          </w:tcPr>
          <w:p>
            <w:pPr>
              <w:spacing w:after="0"/>
              <w:rPr>
                <w:sz w:val="21"/>
                <w:szCs w:val="21"/>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108,298</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107,183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for the 2026 third quarter increased $4.6 million, or 7.6%, over the prior year quarter. The increase was driven by sales growth of $3.9 million, or 9.0%, in Precast and $0.7 million, or 4.1%, in Steel Products.</w:t>
      </w:r>
    </w:p>
    <w:p>
      <w:pPr>
        <w:spacing w:after="0" w:line="179"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for the 2026 third quarter increased $0.9 million, or 6.9%, over the prior year quarter. Precast gross profit improved $0.7 million and Steel Products improved $0.3 million due to higher volumes. Gross profit margin modestly declined 10 basis points to 21.9%.</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operating income for the 2026 third quarter increased $0.2 million over the prior year quarter due to improved gross profit partially offset by higher selling and administrative expenses.</w:t>
      </w:r>
    </w:p>
    <w:p>
      <w:pPr>
        <w:spacing w:after="0" w:line="179" w:lineRule="exact"/>
        <w:rPr>
          <w:rFonts w:ascii="Arial" w:cs="Arial" w:eastAsia="Arial" w:hAnsi="Arial"/>
          <w:sz w:val="18"/>
          <w:szCs w:val="18"/>
          <w:color w:val="auto"/>
        </w:rPr>
      </w:pPr>
    </w:p>
    <w:p>
      <w:pPr>
        <w:jc w:val="both"/>
        <w:ind w:left="660" w:hanging="328"/>
        <w:spacing w:after="0"/>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orders, net for the 2026 third quarter increased $40.2 million, or 141.6%, over the prior year quarter, driven by growth in Steel Products, due in part to a $19 million order that was cancelled in the prior year, and a 29.5% increase in Precast. The trailing twelve month book-to-bill ratio</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1.00 : 1.00. Backlog increased $1.1 million over the prior year quarter due to a 52.6% improvement in Steel Products which offset a decline of 11.7% in Precast.</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First Nine Months Consolidated Highlights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color w:val="auto"/>
              </w:rPr>
              <w:t>Nine Months Ended</w:t>
            </w:r>
          </w:p>
        </w:tc>
        <w:tc>
          <w:tcPr>
            <w:tcW w:w="140" w:type="dxa"/>
            <w:vAlign w:val="bottom"/>
          </w:tcPr>
          <w:p>
            <w:pPr>
              <w:spacing w:after="0"/>
              <w:rPr>
                <w:sz w:val="14"/>
                <w:szCs w:val="14"/>
                <w:color w:val="auto"/>
              </w:rPr>
            </w:pPr>
          </w:p>
        </w:tc>
        <w:tc>
          <w:tcPr>
            <w:tcW w:w="1100" w:type="dxa"/>
            <w:vAlign w:val="bottom"/>
            <w:vMerge w:val="restart"/>
          </w:tcPr>
          <w:p>
            <w:pPr>
              <w:jc w:val="right"/>
              <w:ind w:right="293"/>
              <w:spacing w:after="0"/>
              <w:rPr>
                <w:sz w:val="20"/>
                <w:szCs w:val="20"/>
                <w:color w:val="auto"/>
              </w:rPr>
            </w:pPr>
            <w:r>
              <w:rPr>
                <w:rFonts w:ascii="Arial" w:cs="Arial" w:eastAsia="Arial" w:hAnsi="Arial"/>
                <w:sz w:val="14"/>
                <w:szCs w:val="14"/>
                <w:color w:val="auto"/>
              </w:rPr>
              <w:t>Change</w:t>
            </w:r>
          </w:p>
        </w:tc>
        <w:tc>
          <w:tcPr>
            <w:tcW w:w="80" w:type="dxa"/>
            <w:vAlign w:val="bottom"/>
            <w:vMerge w:val="restart"/>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2026 vs. 2025</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4"/>
                <w:szCs w:val="14"/>
                <w:color w:val="auto"/>
              </w:rPr>
              <w:t>$ in thousands, unless otherwise noted:</w:t>
            </w:r>
          </w:p>
        </w:tc>
        <w:tc>
          <w:tcPr>
            <w:tcW w:w="340" w:type="dxa"/>
            <w:vAlign w:val="bottom"/>
          </w:tcPr>
          <w:p>
            <w:pPr>
              <w:spacing w:after="0"/>
              <w:rPr>
                <w:sz w:val="21"/>
                <w:szCs w:val="21"/>
                <w:color w:val="auto"/>
              </w:rPr>
            </w:pPr>
          </w:p>
        </w:tc>
        <w:tc>
          <w:tcPr>
            <w:tcW w:w="1660" w:type="dxa"/>
            <w:vAlign w:val="bottom"/>
            <w:gridSpan w:val="3"/>
          </w:tcPr>
          <w:p>
            <w:pPr>
              <w:jc w:val="center"/>
              <w:ind w:left="515"/>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427,690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379,636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48,054</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90,996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82,117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8,879</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(30) bps</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70,867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65,411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 as a percent of sales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(60) bps</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18,276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14,050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340" w:type="dxa"/>
            <w:vAlign w:val="bottom"/>
          </w:tcPr>
          <w:p>
            <w:pPr>
              <w:spacing w:after="0"/>
              <w:rPr>
                <w:sz w:val="21"/>
                <w:szCs w:val="21"/>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11,376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6,247</w:t>
            </w:r>
          </w:p>
        </w:tc>
        <w:tc>
          <w:tcPr>
            <w:tcW w:w="80" w:type="dxa"/>
            <w:vAlign w:val="bottom"/>
          </w:tcPr>
          <w:p>
            <w:pPr>
              <w:spacing w:after="0"/>
              <w:rPr>
                <w:sz w:val="21"/>
                <w:szCs w:val="21"/>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29,888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25,412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line="243" w:lineRule="exact"/>
              <w:rPr>
                <w:sz w:val="20"/>
                <w:szCs w:val="20"/>
                <w:color w:val="auto"/>
              </w:rPr>
            </w:pPr>
            <w:r>
              <w:rPr>
                <w:rFonts w:ascii="Arial" w:cs="Arial" w:eastAsia="Arial" w:hAnsi="Arial"/>
                <w:sz w:val="18"/>
                <w:szCs w:val="18"/>
                <w:color w:val="auto"/>
              </w:rPr>
              <w:t>New orders, net</w:t>
            </w:r>
            <w:r>
              <w:rPr>
                <w:rFonts w:ascii="Arial" w:cs="Arial" w:eastAsia="Arial" w:hAnsi="Arial"/>
                <w:sz w:val="23"/>
                <w:szCs w:val="23"/>
                <w:color w:val="auto"/>
                <w:vertAlign w:val="superscript"/>
              </w:rPr>
              <w:t>1</w:t>
            </w:r>
          </w:p>
        </w:tc>
        <w:tc>
          <w:tcPr>
            <w:tcW w:w="340" w:type="dxa"/>
            <w:vAlign w:val="bottom"/>
          </w:tcPr>
          <w:p>
            <w:pPr>
              <w:spacing w:after="0"/>
              <w:rPr>
                <w:sz w:val="21"/>
                <w:szCs w:val="21"/>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473,923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439,595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34,328</w:t>
            </w:r>
          </w:p>
        </w:tc>
        <w:tc>
          <w:tcPr>
            <w:tcW w:w="80" w:type="dxa"/>
            <w:vAlign w:val="bottom"/>
          </w:tcPr>
          <w:p>
            <w:pPr>
              <w:spacing w:after="0"/>
              <w:rPr>
                <w:sz w:val="21"/>
                <w:szCs w:val="21"/>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234,741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247,416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left="700" w:hanging="332"/>
        <w:spacing w:after="0" w:line="259"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for the first nine months of 2026 increased $48.1 million, or 12.7%, over the prior year period. The increase was driven by Rail sales growth of $41.9 million, or 20.2%, led by Rail Products which increased $23.3 million, or 19.2%. Global Friction Management and TS&amp;S also increased $7.9 million, or 13.8%, and $10.7 million, or 36.9%, respectively. Infrastructure sales improved $6.1 million, or 3.6%. The improvement was driven primarily by Precast with sales growth of $9.7 million, or 8.2%, offset in part by Steel Products which declined $3.5 million, or 6.5%.</w:t>
      </w:r>
    </w:p>
    <w:p>
      <w:pPr>
        <w:spacing w:after="0" w:line="206" w:lineRule="exact"/>
        <w:rPr>
          <w:rFonts w:ascii="Arial" w:cs="Arial" w:eastAsia="Arial" w:hAnsi="Arial"/>
          <w:sz w:val="18"/>
          <w:szCs w:val="18"/>
          <w:color w:val="auto"/>
        </w:rPr>
      </w:pPr>
    </w:p>
    <w:p>
      <w:pPr>
        <w:jc w:val="both"/>
        <w:ind w:left="700" w:hanging="332"/>
        <w:spacing w:after="0" w:line="25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for the first nine months of 2026 increased $8.9 million, or 10.8%, over the prior year period driven by improved volumes in Rail which increased $6.2 million. Rail gross profit for the first nine months of 2026 includes $2.1 million of costs associated with the exit of certain product lines within the Tew Engineering business (the "Tew Exit") and for the first nine months of 2025 includes $1.1 million of costs associated with the exit of the UK Automation and Materials Handling product line (the "AMH Exit"). Infrastructure gross profit improved $2.7 million due to favorable business mix and manufacturing efficiency. Gross margins declined by 30 basis points to 21.3% due to sales growth in our lower-margin Rail Distribution and UK businesses.</w:t>
      </w:r>
    </w:p>
    <w:p>
      <w:pPr>
        <w:spacing w:after="0" w:line="209" w:lineRule="exact"/>
        <w:rPr>
          <w:rFonts w:ascii="Arial" w:cs="Arial" w:eastAsia="Arial" w:hAnsi="Arial"/>
          <w:sz w:val="18"/>
          <w:szCs w:val="18"/>
          <w:color w:val="auto"/>
        </w:rPr>
      </w:pPr>
    </w:p>
    <w:p>
      <w:pPr>
        <w:jc w:val="both"/>
        <w:ind w:left="700" w:hanging="332"/>
        <w:spacing w:after="0" w:line="259"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and administrative expenses for the first nine months of 2026 increased $5.5 million, or 8.3%, over the prior year period, primarily due to higher employment costs including higher variable incentive-based compensation costs and medical costs. Selling and administrative expenses for the first nine months of 2026 included $0.6 million of Tew Exit and other strategic initiatives costs including the Dulworth acquisition compared to the first nine months of 2025 which included $0.3 million of AMH Exit costs. Selling and administrative expenses as a percentage of net sales decreased 60 basis points to 16.6%.</w:t>
      </w:r>
    </w:p>
    <w:p>
      <w:pPr>
        <w:spacing w:after="0" w:line="206" w:lineRule="exact"/>
        <w:rPr>
          <w:rFonts w:ascii="Arial" w:cs="Arial" w:eastAsia="Arial" w:hAnsi="Arial"/>
          <w:sz w:val="18"/>
          <w:szCs w:val="18"/>
          <w:color w:val="auto"/>
        </w:rPr>
      </w:pPr>
    </w:p>
    <w:p>
      <w:pPr>
        <w:ind w:left="700" w:hanging="332"/>
        <w:spacing w:after="0" w:line="28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for the first nine months of 2026 improved $4.2 million over the prior year period. The improvement was primarily driven by higher gross profit and lower amortization expense partially offset by an increase in selling and administrative expenses.</w:t>
      </w:r>
    </w:p>
    <w:p>
      <w:pPr>
        <w:spacing w:after="0" w:line="179" w:lineRule="exact"/>
        <w:rPr>
          <w:rFonts w:ascii="Arial" w:cs="Arial" w:eastAsia="Arial" w:hAnsi="Arial"/>
          <w:sz w:val="18"/>
          <w:szCs w:val="18"/>
          <w:color w:val="auto"/>
        </w:rPr>
      </w:pPr>
    </w:p>
    <w:p>
      <w:pPr>
        <w:ind w:left="700" w:hanging="332"/>
        <w:spacing w:after="0" w:line="28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attributable to the Company for the first nine months of 2026 improved $6.2 million over the prior year period driven by higher operating income, reduced interest expense, and lower income tax expense.</w:t>
      </w:r>
    </w:p>
    <w:p>
      <w:pPr>
        <w:spacing w:after="0" w:line="179" w:lineRule="exact"/>
        <w:rPr>
          <w:rFonts w:ascii="Arial" w:cs="Arial" w:eastAsia="Arial" w:hAnsi="Arial"/>
          <w:sz w:val="18"/>
          <w:szCs w:val="18"/>
          <w:color w:val="auto"/>
        </w:rPr>
      </w:pPr>
    </w:p>
    <w:p>
      <w:pPr>
        <w:jc w:val="both"/>
        <w:ind w:left="700" w:hanging="332"/>
        <w:spacing w:after="0" w:line="268"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for the first nine months of 2026 improved $4.5 million, or 17.6%, over the prior year period and was adjusted for $0.4 million of strategic initiative costs including the Dulworth acquisition and $2.3 million of Tew Exit costs. The first nine months of 2025 was adjusted for the $1.4 million of AMH Exit costs.</w:t>
      </w:r>
    </w:p>
    <w:p>
      <w:pPr>
        <w:spacing w:after="0" w:line="197" w:lineRule="exact"/>
        <w:rPr>
          <w:rFonts w:ascii="Arial" w:cs="Arial" w:eastAsia="Arial" w:hAnsi="Arial"/>
          <w:sz w:val="18"/>
          <w:szCs w:val="18"/>
          <w:color w:val="auto"/>
        </w:rPr>
      </w:pPr>
    </w:p>
    <w:p>
      <w:pPr>
        <w:ind w:left="700" w:hanging="332"/>
        <w:spacing w:after="0" w:line="28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provided by operating activities totaled $31.0 million for the first nine months of 2026, a $17.5 million improvement compared to cash provided by operating activities of $13.4 million in the prior year period.</w:t>
      </w:r>
    </w:p>
    <w:p>
      <w:pPr>
        <w:sectPr>
          <w:pgSz w:w="11900" w:h="16838" w:orient="portrait"/>
          <w:cols w:equalWidth="0" w:num="1">
            <w:col w:w="11240"/>
          </w:cols>
          <w:pgMar w:left="320" w:top="931" w:right="339" w:bottom="1440" w:gutter="0" w:footer="0" w:header="0"/>
        </w:sectPr>
      </w:pPr>
    </w:p>
    <w:bookmarkStart w:id="8" w:name="page9"/>
    <w:bookmarkEnd w:id="8"/>
    <w:p>
      <w:pPr>
        <w:jc w:val="both"/>
        <w:ind w:left="700" w:hanging="332"/>
        <w:spacing w:after="0" w:line="253"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orders, net for the first nine months of 2026 increased $34.3 million, or 7.8%, over the prior year period, driven by a 24.6% increase in Infrastructure, which benefited from an order cancellation in the Steel Products business during the prior year period, and more than offset a 1.4% decline in Rail.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Conference Call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L.B. Foster Company will conduct a conference call and webcast to discuss its third quarter 2026 operating results on Wednesday, November 4, 2026 at 8:30 AM ET. The call will be hosted by Mr. John Kasel, President and Chief Executive Officer. Listen via audio and access the slide presentation on the L.B. Foster website: </w:t>
      </w:r>
      <w:r>
        <w:rPr>
          <w:rFonts w:ascii="Arial" w:cs="Arial" w:eastAsia="Arial" w:hAnsi="Arial"/>
          <w:sz w:val="18"/>
          <w:szCs w:val="18"/>
          <w:u w:val="single" w:color="auto"/>
          <w:color w:val="auto"/>
        </w:rPr>
        <w:t>www.lbfoster.com</w:t>
      </w:r>
      <w:r>
        <w:rPr>
          <w:rFonts w:ascii="Arial" w:cs="Arial" w:eastAsia="Arial" w:hAnsi="Arial"/>
          <w:sz w:val="18"/>
          <w:szCs w:val="18"/>
          <w:color w:val="auto"/>
        </w:rPr>
        <w:t>, under the Investor Relations page. A conference call replay will be available through November 11, 2026 via webcast through L.B. Foster’s Investor Relations page of the company’s website.</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Those interested in participating in the question-and-answer session may register for the call at https://register-conf.media-server.com/register/BId76b0b71870444b4b44b824b96f901d6 to receive the dial-in numbers and unique PIN to access the call. The registration link will also be available on the Company’s Investor Relations page of its website.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L.B. Foster Company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Founded in 1902, 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maintains locations in North America, South America, Europe, and Asia. For more information, please visit </w:t>
      </w:r>
      <w:r>
        <w:rPr>
          <w:rFonts w:ascii="Arial" w:cs="Arial" w:eastAsia="Arial" w:hAnsi="Arial"/>
          <w:sz w:val="18"/>
          <w:szCs w:val="18"/>
          <w:u w:val="single" w:color="auto"/>
          <w:color w:val="auto"/>
        </w:rPr>
        <w:t>www.lbfoster.com</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contains financial measures that are not calculated and presented in accordance with generally accepted accounting principles in the United States ("GAAP"). These non-GAAP financial measures are provided as additional information for investors. The presentation of this additional information is not meant to be considered in isolation or as a substitute for GAAP measures. For definitions of the non-GAAP financial measures used in this press release and reconciliations to the most directly comparable respective GAAP measures, see the “Non-GAAP Disclosures” section below.</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reconciled the forward-looking Adjusted EBITDA and Free Cash Flow to the most directly comparable GAAP measure because this cannot be done without unreasonable effort due to the variability and low visibility with respect to certain costs, the most significant of which are acquisition and divestiture-related costs, impairment expense, and changes in operating assets and liabilities. These underlying expenses and others that may arise during the year are potential adjustments to future earnings. The Company expects the variability of these items to have a potentially unpredictable, and a potentially significant, impact on our future GAAP financial results.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Free Cash Flow is useful information to investors as it provides insight on cash generated by operations, less capital expenditures, which we believe to be helpful in assessing the Company's long-term ability to pursue growth and investment opportunities as well as service its financing obligations and generate capital for shareholders. Additionally, the Company's annual incentive plans for management provide for the utilization of Free Cash Flow as a metric for measuring cash-generation performance in determining annual variable incentive achievement.</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 Company’s performance obligations have not been met, including with respect to new orders and contracts for which the Company has not begun any performance. Backlog may not be indicative of future operating results as orders may be cancelled or modified by the customer. Management utilizes new orders, net and backlog to evaluate the health of the industries in which the Company operates, the Company’s current and future results of operations and financial prospects, and strategies for business development. The Company believes that new orders, net and backlog are useful to investors as supplemental metrics by which to measure the Company’s current performance and prospective results of operations and financial performance. The Company defines book-to-bill ratio as new orders, net divided by revenue. The Company believes this is a useful metric to assess supply and demand, including order strength versus order fulfillment.</w:t>
      </w:r>
    </w:p>
    <w:p>
      <w:pPr>
        <w:sectPr>
          <w:pgSz w:w="11900" w:h="16838" w:orient="portrait"/>
          <w:cols w:equalWidth="0" w:num="1">
            <w:col w:w="11240"/>
          </w:cols>
          <w:pgMar w:left="320" w:top="917" w:right="3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8"/>
          <w:szCs w:val="18"/>
          <w:color w:val="auto"/>
        </w:rPr>
        <w:t>The Company views its Gross Leverage Ratio per its credit agreement, as defined in the Fifth Amended and Restated Credit Agreement dated June 27, 2025, as an important indication of the Company's financial health and believes it is useful to investors as an indicator of the Company's ability to service its existing indebtedness and borrow additional funds for its operational and investing needs, including capital expenditures and acquisitions.</w:t>
      </w:r>
    </w:p>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i w:val="1"/>
          <w:iCs w:val="1"/>
          <w:color w:val="auto"/>
        </w:rPr>
        <w:t>This release may contain “forward-looking” statements within the meaning of Section 21E of the Securities Exchange Act of 1934, as amended, and Section 27A of the Securities Act of 1933, as amended.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earnings release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a decrease in construction activity;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including but not limited to the exit of certain product lines in the UK-based Tew Engineering business, and our ability to effectively integrate acquired businesses or to divest businesses, and to realize anticipated synergies and benefits, including but not limited to the Dulworth acquisition;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2025, or as updated and/or amended by our other current or periodic filings with the Securities and Exchange Commission.</w:t>
      </w:r>
    </w:p>
    <w:p>
      <w:pPr>
        <w:spacing w:after="0" w:line="273"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i w:val="1"/>
          <w:iCs w:val="1"/>
          <w:color w:val="auto"/>
        </w:rPr>
        <w:t>The forward-looking statements in this release are made as of the date of this release and we assume no obligation to update or revise any forward-looking statement, whether as a result of new information, future developments, or otherwise, except as required by the federal securities laws.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Lisa Durante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412-928-3400, and follow the prompts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investors@lbfoster.com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L.B. Foster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415 Holiday Drive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Suite 100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Pittsburgh, PA 15220</w:t>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2380" w:type="dxa"/>
            <w:vAlign w:val="bottom"/>
            <w:gridSpan w:val="4"/>
          </w:tcPr>
          <w:p>
            <w:pPr>
              <w:jc w:val="right"/>
              <w:ind w:right="611"/>
              <w:spacing w:after="0"/>
              <w:rPr>
                <w:sz w:val="20"/>
                <w:szCs w:val="20"/>
                <w:color w:val="auto"/>
              </w:rPr>
            </w:pPr>
            <w:r>
              <w:rPr>
                <w:rFonts w:ascii="Arial" w:cs="Arial" w:eastAsia="Arial" w:hAnsi="Arial"/>
                <w:sz w:val="14"/>
                <w:szCs w:val="14"/>
                <w:color w:val="auto"/>
              </w:rPr>
              <w:t>Nine Months Ended</w:t>
            </w:r>
          </w:p>
        </w:tc>
      </w:tr>
      <w:tr>
        <w:trPr>
          <w:trHeight w:val="18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205"/>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2025</w:t>
            </w:r>
          </w:p>
        </w:tc>
      </w:tr>
      <w:tr>
        <w:trPr>
          <w:trHeight w:val="38"/>
        </w:trPr>
        <w:tc>
          <w:tcPr>
            <w:tcW w:w="5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goods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368,242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340,449</w:t>
            </w:r>
          </w:p>
        </w:tc>
      </w:tr>
      <w:tr>
        <w:trPr>
          <w:trHeight w:val="24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of services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39,187</w:t>
            </w:r>
          </w:p>
        </w:tc>
      </w:tr>
      <w:tr>
        <w:trPr>
          <w:trHeight w:val="23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167,996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427,690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379,636</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114,984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93,915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286,607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259,472</w:t>
            </w: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38,047</w:t>
            </w:r>
          </w:p>
        </w:tc>
      </w:tr>
      <w:tr>
        <w:trPr>
          <w:trHeight w:val="237"/>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sales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133,570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336,694</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297,519</w:t>
            </w:r>
          </w:p>
        </w:tc>
      </w:tr>
      <w:tr>
        <w:trPr>
          <w:trHeight w:val="23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34,426</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90,996</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82,117</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70,867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65,411</w:t>
            </w: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14,050</w:t>
            </w: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4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 net</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3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w:t>
            </w:r>
          </w:p>
        </w:tc>
      </w:tr>
      <w:tr>
        <w:trPr>
          <w:trHeight w:val="24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r>
      <w:tr>
        <w:trPr>
          <w:trHeight w:val="23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r>
      <w:tr>
        <w:trPr>
          <w:trHeight w:val="24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3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L.B. Foster Company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data attributable to L.B. Foster shareholders: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r>
      <w:tr>
        <w:trPr>
          <w:trHeight w:val="247"/>
        </w:trPr>
        <w:tc>
          <w:tcPr>
            <w:tcW w:w="58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10,923</w:t>
            </w:r>
          </w:p>
        </w:tc>
      </w:tr>
    </w:tbl>
    <w:p>
      <w:pPr>
        <w:sectPr>
          <w:pgSz w:w="11900" w:h="16838" w:orient="portrait"/>
          <w:cols w:equalWidth="0" w:num="1">
            <w:col w:w="11240"/>
          </w:cols>
          <w:pgMar w:left="320" w:top="93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December 31,</w:t>
            </w:r>
          </w:p>
        </w:tc>
      </w:tr>
      <w:tr>
        <w:trPr>
          <w:trHeight w:val="185"/>
        </w:trPr>
        <w:tc>
          <w:tcPr>
            <w:tcW w:w="8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2025</w:t>
            </w:r>
          </w:p>
        </w:tc>
      </w:tr>
      <w:tr>
        <w:trPr>
          <w:trHeight w:val="206"/>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7"/>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Accounts receivable - net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80,551</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 net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Inventories - net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60,219</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w:t>
            </w:r>
          </w:p>
        </w:tc>
      </w:tr>
      <w:tr>
        <w:trPr>
          <w:trHeight w:val="237"/>
        </w:trPr>
        <w:tc>
          <w:tcPr>
            <w:tcW w:w="86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156,111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156,871</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77,183</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Operating lease right-of-use assets - net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28,309</w:t>
            </w: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33,062</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intangibles - net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20,355</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r>
      <w:tr>
        <w:trPr>
          <w:trHeight w:val="236"/>
        </w:trPr>
        <w:tc>
          <w:tcPr>
            <w:tcW w:w="8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330,372</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52,519</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5,900</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14,003</w:t>
            </w:r>
          </w:p>
        </w:tc>
      </w:tr>
      <w:tr>
        <w:trPr>
          <w:trHeight w:val="236"/>
        </w:trPr>
        <w:tc>
          <w:tcPr>
            <w:tcW w:w="86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83,921</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42,603</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24,266</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44,782</w:t>
            </w:r>
          </w:p>
        </w:tc>
      </w:tr>
      <w:tr>
        <w:trPr>
          <w:trHeight w:val="243"/>
        </w:trPr>
        <w:tc>
          <w:tcPr>
            <w:tcW w:w="8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175,124</w:t>
            </w:r>
          </w:p>
        </w:tc>
      </w:tr>
      <w:tr>
        <w:trPr>
          <w:trHeight w:val="24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(23,852)</w:t>
            </w:r>
          </w:p>
        </w:tc>
      </w:tr>
      <w:tr>
        <w:trPr>
          <w:trHeight w:val="243"/>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(20,889)</w:t>
            </w:r>
          </w:p>
        </w:tc>
      </w:tr>
      <w:tr>
        <w:trPr>
          <w:trHeight w:val="236"/>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L.B. Foster Company stockholders’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185,906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175,276</w:t>
            </w:r>
          </w:p>
        </w:tc>
      </w:tr>
      <w:tr>
        <w:trPr>
          <w:trHeight w:val="237"/>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37"/>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186,790</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175,998</w:t>
            </w:r>
          </w:p>
        </w:tc>
      </w:tr>
      <w:tr>
        <w:trPr>
          <w:trHeight w:val="236"/>
        </w:trPr>
        <w:tc>
          <w:tcPr>
            <w:tcW w:w="8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330,372</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Non-GAAP Disclosures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earnings release discloses earnings before interest, taxes, depreciation, and amortization (“EBITDA”), Adjusted EBITDA, and Free Cash Flow. The Company believes that EBITDA is useful to investors as a supplemental way to evaluate the ongoing operations of the Company’s business since EBITDA may enhance investors’ ability to compare historical periods as it adjusts for the impact of financing methods, tax law and strategy changes, and depreciation and amortization. In addition, EBITDA is a financial measure that management and the Company’s Board of Directors use in their financial and operational decision-making and in the determination of certain compensation programs. Adjusted EBITDA adjusts for certain charges to EBITDA from continuing operations that the Company believes are unusual, non-recurring, unpredictable, or non-cash.</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three months ended September 30, 2026, the Company made adjustments to exclude strategic initiative costs, including acquisition-related costs, and in the three months ended September 30, 2025, the Company made no such adjustments to EBITDA. In the nine months ended September 30, 2026, the Company made adjustments to exclude costs associated with the Tew Exit and strategic initiative costs including acquisition-related costs. In the nine months ended September 30, 2025, the Company made adjustments to exclude AMH Exit costs. The Company believes the results adjusted to exclude these items are useful to investors as these items are non-routine in nature.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Non-GAAP financial measures are not a substitute for GAAP financial results and should only be considered in conjunction with the Company’s financial information that is presented in accordance with GAAP. The following tables present quantitative reconciliations of EBITDA, Adjusted EBITDA, and Free Cash Flow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38"/>
        </w:trPr>
        <w:tc>
          <w:tcPr>
            <w:tcW w:w="5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Reconciliation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Net income, as reported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4,325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61"/>
        </w:trPr>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Strategic initiative costs incl. acquisition-related costs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AMH Exit costs</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Tew Exit costs</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5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ind w:left="8500"/>
        <w:spacing w:after="0"/>
        <w:rPr>
          <w:sz w:val="20"/>
          <w:szCs w:val="20"/>
          <w:color w:val="auto"/>
        </w:rPr>
      </w:pPr>
      <w:r>
        <w:rPr>
          <w:rFonts w:ascii="Arial" w:cs="Arial" w:eastAsia="Arial" w:hAnsi="Arial"/>
          <w:sz w:val="14"/>
          <w:szCs w:val="14"/>
          <w:color w:val="auto"/>
        </w:rPr>
        <w:t>Three Months Ended</w:t>
      </w:r>
    </w:p>
    <w:p>
      <w:pPr>
        <w:jc w:val="center"/>
        <w:ind w:left="850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14605</wp:posOffset>
            </wp:positionV>
            <wp:extent cx="172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2025</w:t>
            </w:r>
          </w:p>
        </w:tc>
      </w:tr>
      <w:tr>
        <w:trPr>
          <w:trHeight w:val="209"/>
        </w:trPr>
        <w:tc>
          <w:tcPr>
            <w:tcW w:w="8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18"/>
                <w:szCs w:val="18"/>
                <w:color w:val="auto"/>
              </w:rPr>
            </w:pPr>
          </w:p>
        </w:tc>
      </w:tr>
      <w:tr>
        <w:trPr>
          <w:trHeight w:val="24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Reconciliation</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23,553</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29,181</w:t>
            </w:r>
          </w:p>
        </w:tc>
      </w:tr>
      <w:tr>
        <w:trPr>
          <w:trHeight w:val="24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capital expenditures on property, plant, and equipment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36"/>
        </w:trPr>
        <w:tc>
          <w:tcPr>
            <w:tcW w:w="85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26,372</w:t>
            </w:r>
          </w:p>
        </w:tc>
      </w:tr>
      <w:tr>
        <w:trPr>
          <w:trHeight w:val="20"/>
        </w:trPr>
        <w:tc>
          <w:tcPr>
            <w:tcW w:w="8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466090</wp:posOffset>
            </wp:positionV>
            <wp:extent cx="2057400" cy="625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20"/>
        <w:spacing w:after="0"/>
        <w:rPr>
          <w:sz w:val="20"/>
          <w:szCs w:val="20"/>
          <w:color w:val="auto"/>
        </w:rPr>
      </w:pPr>
      <w:r>
        <w:rPr>
          <w:rFonts w:ascii="Arial" w:cs="Arial" w:eastAsia="Arial" w:hAnsi="Arial"/>
          <w:sz w:val="25"/>
          <w:szCs w:val="25"/>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L.B. Foster Company Announces Executive Officer Changes</w:t>
      </w:r>
    </w:p>
    <w:p>
      <w:pPr>
        <w:spacing w:after="0" w:line="11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PITTSBURGH, PA, November 2, 2026 L.B. Foster Company (NASDAQ: FSTR), a global technology solutions provider of products and services for the Rail and Infrastructure markets, announced today that its Board of Directors has approved certain changes among its executive officers effective November 1, 2026 (the Effective Date).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Ms. Sara Rolli currently serves as the Company’s Senior Vice President – Operational Administration and is appointed Senior Vice President</w:t>
      </w:r>
    </w:p>
    <w:p>
      <w:pPr>
        <w:spacing w:after="0" w:line="3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Steel Products and Operational Excellence on the Effective Date, and will continue to report to Bill Thalman, Executive Vice President and Chief Operating Officer. In addition to her current responsibilities overseeing the Company’s Quality, EHS and Continuous Improvement functions, Ms. Rolli will now have operational oversight of the Steel Products business unit within the Company’s Infrastructure segment. Ms. Rolli, age 45, has served as SVP – Operational Administration since 2025, served as VP – Operational Administration from 2023 – 2025, and served as the Company’s Director of Quality from 2019 – 2023. She was also Senior Quality Manager from 2015 – 2017 and Site Quality Manager from 2013 – 2015. Prior to joining the Company, Ms. Rolli was employed by Kennametal, Inc. and Praxair. Ms. Rolli holds Bachelor of Science and Master of Arts degrees from Waynesburg University.</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connection with Ms. Rolli’s change in responsibilities, Mr. Robert (Bob) Ness, currently serving as Senior Vice President – Infrastructure segment, is appointed Senior Vice President – Precast Concrete Products on the Effective Date, also continuing to report to Mr. Thalman. He will cease to serve as SVP – Infrastructure on the Effective Date and will lead the Company’s Precast Concrete Products business unit.</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Mr. Thalman commented, “We’re pleased to recognize Sara with this important change to her responsibilities. She’s been a valued leader in our organization for over a decade, establishing rigor and sustainability in our Quality, Lean and EHS business processes. This additional assignment overseeing the Steel Products business unit is the next step in her career progression and adds to our operational bench strength. The change also provides Bob with additional bandwidth to focus on our growth initiatives for the Precast Concrete business unit, which is a critical growth platform within our strategic playbook. I congratulate Sara on this well-deserved recognition and look forward to the contributions both Sara and Bob will make in the future.”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L.B. Foster Company</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Founded in 1902, 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maintains locations in North America, South America, Europe, and Asia. For more information, please visit www.lbfoster.com.</w:t>
      </w:r>
    </w:p>
    <w:p>
      <w:pPr>
        <w:sectPr>
          <w:pgSz w:w="11900" w:h="16838" w:orient="portrait"/>
          <w:cols w:equalWidth="0" w:num="1">
            <w:col w:w="11240"/>
          </w:cols>
          <w:pgMar w:left="320" w:top="13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i w:val="1"/>
          <w:iCs w:val="1"/>
          <w:color w:val="auto"/>
        </w:rPr>
        <w:t>This release may contain “forward-looking” statements within the meaning of Section 21E of the Securities Exchange Act of 1934, as amended, and Section 27A of the Securities Act of 1933, as amended.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earnings release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a decrease in construction activity;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including but not limited to the exit of certain product lines in the UK-based Tew Engineering business, and our ability to effectively integrate acquired businesses or to divest businesses, and to realize anticipated synergies and benefits, including but not limited to the Dulworth acquisition;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2025, or as updated and/or amended by our other current or periodic filings with the Securities and Exchange Commission.</w:t>
      </w:r>
    </w:p>
    <w:p>
      <w:pPr>
        <w:spacing w:after="0" w:line="350" w:lineRule="exact"/>
        <w:rPr>
          <w:sz w:val="20"/>
          <w:szCs w:val="20"/>
          <w:color w:val="auto"/>
        </w:rPr>
      </w:pPr>
    </w:p>
    <w:p>
      <w:pPr>
        <w:jc w:val="both"/>
        <w:ind w:right="20"/>
        <w:spacing w:after="0" w:line="320" w:lineRule="auto"/>
        <w:rPr>
          <w:sz w:val="20"/>
          <w:szCs w:val="20"/>
          <w:color w:val="auto"/>
        </w:rPr>
      </w:pPr>
      <w:r>
        <w:rPr>
          <w:rFonts w:ascii="Arial" w:cs="Arial" w:eastAsia="Arial" w:hAnsi="Arial"/>
          <w:sz w:val="15"/>
          <w:szCs w:val="15"/>
          <w:i w:val="1"/>
          <w:iCs w:val="1"/>
          <w:color w:val="auto"/>
        </w:rPr>
        <w:t>The forward-looking statements in this release are made as of the date of this release and we assume no obligation to update or revise any forward-looking statement, whether as a result of new information, future developments, or otherwise, except as required by the federal securities laws.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Meredith Faust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412-928-3400, and follow the prompts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investors@lbfoster.com</w:t>
      </w:r>
    </w:p>
    <w:p>
      <w:pPr>
        <w:sectPr>
          <w:pgSz w:w="11900" w:h="16838" w:orient="portrait"/>
          <w:cols w:equalWidth="0" w:num="1">
            <w:col w:w="11240"/>
          </w:cols>
          <w:pgMar w:left="320" w:top="101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L.B. Foster Company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415 Holiday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Pittsburgh, PA 15220</w:t>
      </w:r>
    </w:p>
    <w:sectPr>
      <w:pgSz w:w="11900" w:h="16838" w:orient="portrait"/>
      <w:cols w:equalWidth="0" w:num="1">
        <w:col w:w="10139"/>
      </w:cols>
      <w:pgMar w:left="320" w:top="9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2026-11-04T06:35:59Z</dcterms:created>
  <dcterms:modified xsi:type="dcterms:W3CDTF">2026-11-04T06:35:59Z</dcterms:modified>
</cp:coreProperties>
</file>