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7902" w:type="dxa"/>
        <w:jc w:val="left"/>
        <w:tblInd w:w="0" w:type="dxa"/>
        <w:tblLayout w:type="fixed"/>
        <w:tblCellMar>
          <w:top w:w="28" w:type="dxa"/>
          <w:left w:w="28" w:type="dxa"/>
          <w:bottom w:w="28" w:type="dxa"/>
          <w:right w:w="28" w:type="dxa"/>
        </w:tblCellMar>
      </w:tblPr>
      <w:tblGrid>
        <w:gridCol w:w="124"/>
        <w:gridCol w:w="109"/>
        <w:gridCol w:w="109"/>
        <w:gridCol w:w="2214"/>
        <w:gridCol w:w="2214"/>
        <w:gridCol w:w="313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7946" w:type="dxa"/>
        <w:jc w:val="center"/>
        <w:tblInd w:w="0" w:type="dxa"/>
        <w:tblLayout w:type="fixed"/>
        <w:tblCellMar>
          <w:top w:w="28" w:type="dxa"/>
          <w:left w:w="28" w:type="dxa"/>
          <w:bottom w:w="28" w:type="dxa"/>
          <w:right w:w="28" w:type="dxa"/>
        </w:tblCellMar>
      </w:tblPr>
      <w:tblGrid>
        <w:gridCol w:w="124"/>
        <w:gridCol w:w="109"/>
        <w:gridCol w:w="109"/>
        <w:gridCol w:w="2221"/>
        <w:gridCol w:w="2221"/>
        <w:gridCol w:w="316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000-10436</w:t>
      </w:r>
    </w:p>
    <w:tbl>
      <w:tblPr>
        <w:tblW w:w="4588" w:type="dxa"/>
        <w:jc w:val="center"/>
        <w:tblInd w:w="0" w:type="dxa"/>
        <w:tblLayout w:type="fixed"/>
        <w:tblCellMar>
          <w:top w:w="28" w:type="dxa"/>
          <w:left w:w="28" w:type="dxa"/>
          <w:bottom w:w="28" w:type="dxa"/>
          <w:right w:w="28" w:type="dxa"/>
        </w:tblCellMar>
      </w:tblPr>
      <w:tblGrid>
        <w:gridCol w:w="335"/>
        <w:gridCol w:w="294"/>
        <w:gridCol w:w="294"/>
        <w:gridCol w:w="294"/>
        <w:gridCol w:w="294"/>
        <w:gridCol w:w="294"/>
        <w:gridCol w:w="294"/>
        <w:gridCol w:w="294"/>
        <w:gridCol w:w="294"/>
        <w:gridCol w:w="294"/>
        <w:gridCol w:w="294"/>
        <w:gridCol w:w="294"/>
        <w:gridCol w:w="294"/>
        <w:gridCol w:w="294"/>
        <w:gridCol w:w="431"/>
      </w:tblGrid>
      <w:t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c>
          <w:tcPr>
            <w:tcW w:w="4588" w:type="dxa"/>
            <w:gridSpan w:val="15"/>
            <w:tcBorders>
              <w:top w:val="single" w:sz="8" w:space="0" w:color="000000"/>
            </w:tcBorders>
            <w:tcMar>
              <w:left w:w="0" w:type="dxa"/>
              <w:bottom w:w="0" w:type="dxa"/>
              <w:right w:w="0" w:type="dxa"/>
            </w:tcMar>
            <w:vAlign w:val="center"/>
          </w:tcPr>
          <w:p>
            <w:pPr>
              <w:pStyle w:val="TableContents"/>
              <w:bidi w:val="0"/>
              <w:spacing w:before="0" w:after="0"/>
              <w:jc w:val="center"/>
            </w:pPr>
            <w:r>
              <w:drawing>
                <wp:inline distT="0" distB="0" distL="0" distR="0">
                  <wp:extent cx="2286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57200"/>
                          </a:xfrm>
                          <a:prstGeom prst="rect">
                            <a:avLst/>
                          </a:prstGeom>
                        </pic:spPr>
                      </pic:pic>
                    </a:graphicData>
                  </a:graphic>
                </wp:inline>
              </w:drawing>
            </w:r>
            <w:bookmarkStart w:id="0" w:name="i-1"/>
            <w:bookmarkEnd w:id="0"/>
          </w:p>
        </w:tc>
      </w:tr>
      <w:tr>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L.B. Foster Company</w:t>
            </w:r>
          </w:p>
        </w:tc>
      </w:tr>
      <w:tr>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c>
          <w:tcPr>
            <w:tcW w:w="9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77" w:type="dxa"/>
        <w:jc w:val="center"/>
        <w:tblInd w:w="0" w:type="dxa"/>
        <w:tblLayout w:type="fixed"/>
        <w:tblCellMar>
          <w:top w:w="28" w:type="dxa"/>
          <w:left w:w="28" w:type="dxa"/>
          <w:bottom w:w="28" w:type="dxa"/>
          <w:right w:w="28" w:type="dxa"/>
        </w:tblCellMar>
      </w:tblPr>
      <w:tblGrid>
        <w:gridCol w:w="1555"/>
        <w:gridCol w:w="1364"/>
        <w:gridCol w:w="1371"/>
        <w:gridCol w:w="109"/>
        <w:gridCol w:w="109"/>
        <w:gridCol w:w="109"/>
        <w:gridCol w:w="806"/>
        <w:gridCol w:w="806"/>
        <w:gridCol w:w="1148"/>
      </w:tblGrid>
      <w:t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25-1324733</w:t>
            </w:r>
          </w:p>
        </w:tc>
      </w:tr>
      <w:t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 R. S. Employer Identification No.)</w:t>
            </w:r>
          </w:p>
        </w:tc>
      </w:tr>
    </w:tbl>
    <w:tbl>
      <w:tblPr>
        <w:tblW w:w="6011" w:type="dxa"/>
        <w:jc w:val="left"/>
        <w:tblInd w:w="0" w:type="dxa"/>
        <w:tblLayout w:type="fixed"/>
        <w:tblCellMar>
          <w:top w:w="28" w:type="dxa"/>
          <w:left w:w="28" w:type="dxa"/>
          <w:bottom w:w="28" w:type="dxa"/>
          <w:right w:w="28" w:type="dxa"/>
        </w:tblCellMar>
      </w:tblPr>
      <w:tblGrid>
        <w:gridCol w:w="1729"/>
        <w:gridCol w:w="1517"/>
        <w:gridCol w:w="1523"/>
        <w:gridCol w:w="109"/>
        <w:gridCol w:w="109"/>
        <w:gridCol w:w="109"/>
        <w:gridCol w:w="268"/>
        <w:gridCol w:w="268"/>
        <w:gridCol w:w="379"/>
      </w:tblGrid>
      <w:tr>
        <w:tc>
          <w:tcPr>
            <w:tcW w:w="172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415 Holiday Drive, Suite 100, Pittsburgh,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15220</w:t>
            </w:r>
          </w:p>
        </w:tc>
      </w:tr>
      <w:t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(412) 928-3400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9167" w:type="dxa"/>
        <w:jc w:val="center"/>
        <w:tblInd w:w="0" w:type="dxa"/>
        <w:tblLayout w:type="fixed"/>
        <w:tblCellMar>
          <w:top w:w="28" w:type="dxa"/>
          <w:left w:w="28" w:type="dxa"/>
          <w:bottom w:w="28" w:type="dxa"/>
          <w:right w:w="28" w:type="dxa"/>
        </w:tblCellMar>
      </w:tblPr>
      <w:tblGrid>
        <w:gridCol w:w="991"/>
        <w:gridCol w:w="869"/>
        <w:gridCol w:w="869"/>
        <w:gridCol w:w="278"/>
        <w:gridCol w:w="278"/>
        <w:gridCol w:w="278"/>
        <w:gridCol w:w="485"/>
        <w:gridCol w:w="485"/>
        <w:gridCol w:w="485"/>
        <w:gridCol w:w="278"/>
        <w:gridCol w:w="278"/>
        <w:gridCol w:w="278"/>
        <w:gridCol w:w="971"/>
        <w:gridCol w:w="971"/>
        <w:gridCol w:w="1373"/>
      </w:tblGrid>
      <w:tr>
        <w:tc>
          <w:tcPr>
            <w:tcW w:w="99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c>
          <w:tcPr>
            <w:tcW w:w="9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FSTR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p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40" w:after="283"/>
        <w:jc w:val="both"/>
      </w:p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777"/>
        <w:gridCol w:w="683"/>
        <w:gridCol w:w="684"/>
        <w:gridCol w:w="109"/>
        <w:gridCol w:w="109"/>
        <w:gridCol w:w="109"/>
        <w:gridCol w:w="109"/>
        <w:gridCol w:w="109"/>
        <w:gridCol w:w="109"/>
        <w:gridCol w:w="109"/>
        <w:gridCol w:w="109"/>
        <w:gridCol w:w="109"/>
        <w:gridCol w:w="754"/>
        <w:gridCol w:w="754"/>
        <w:gridCol w:w="1071"/>
      </w:tblGrid>
      <w:t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 </w:t>
            </w:r>
          </w:p>
        </w:tc>
      </w:tr>
      <w:t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r>
      <w:t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pPr>
      <w:r/>
    </w:p>
    <w:p>
      <w:pPr>
        <w:pStyle w:val="TextBody"/>
        <w:bidi w:val="0"/>
        <w:spacing w:lineRule="auto" w:line="288" w:before="40" w:after="283"/>
        <w:jc w:val="both"/>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 ☒</w:t>
      </w:r>
    </w:p>
    <w:p>
      <w:pPr>
        <w:pStyle w:val="TextBody"/>
        <w:bidi w:val="0"/>
        <w:spacing w:before="40" w:after="283"/>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28, 2026, there were 10,520,291 shares of the registrant’s common stock, par value $0.01 per share, outstanding.</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18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INDEX</w:t>
      </w:r>
    </w:p>
    <w:p>
      <w:pPr>
        <w:pStyle w:val="TextBody"/>
        <w:bidi w:val="0"/>
        <w:spacing w:lineRule="auto" w:line="288" w:before="0" w:after="0"/>
        <w:jc w:val="both"/>
        <w:rPr>
          <w:color w:val="000000"/>
        </w:rPr>
      </w:pPr>
      <w:r>
        <w:rPr>
          <w:color w:val="000000"/>
        </w:rPr>
        <w:t> </w:t>
      </w:r>
    </w:p>
    <w:tbl>
      <w:tblPr>
        <w:tblW w:w="8491" w:type="dxa"/>
        <w:jc w:val="left"/>
        <w:tblInd w:w="0" w:type="dxa"/>
        <w:tblLayout w:type="fixed"/>
        <w:tblCellMar>
          <w:top w:w="28" w:type="dxa"/>
          <w:left w:w="28" w:type="dxa"/>
          <w:bottom w:w="28" w:type="dxa"/>
          <w:right w:w="28" w:type="dxa"/>
        </w:tblCellMar>
      </w:tblPr>
      <w:tblGrid>
        <w:gridCol w:w="2885"/>
        <w:gridCol w:w="2540"/>
        <w:gridCol w:w="2555"/>
        <w:gridCol w:w="149"/>
        <w:gridCol w:w="149"/>
        <w:gridCol w:w="213"/>
      </w:tblGrid>
      <w:tr>
        <w:tc>
          <w:tcPr>
            <w:tcW w:w="28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0">
              <w:r>
                <w:rPr>
                  <w:rStyle w:val="InternetLink"/>
                  <w:rFonts w:ascii="Times New Roman;serif" w:hAnsi="Times New Roman;serif"/>
                  <w:b w:val="false"/>
                  <w:color w:val="0000FF"/>
                  <w:sz w:val="20"/>
                  <w:u w:val="single"/>
                </w:rPr>
                <w:t>PART I.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3">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6">
              <w:r>
                <w:rPr>
                  <w:rStyle w:val="InternetLink"/>
                  <w:rFonts w:ascii="Times New Roman;serif" w:hAnsi="Times New Roman;serif"/>
                  <w:b w:val="false"/>
                  <w:color w:val="0000FF"/>
                  <w:sz w:val="20"/>
                  <w:u w:val="single"/>
                </w:rPr>
                <w:t>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9">
              <w:r>
                <w:rPr>
                  <w:rStyle w:val="InternetLink"/>
                  <w:rFonts w:ascii="Times New Roman;serif" w:hAnsi="Times New Roman;serif"/>
                  <w:b w:val="false"/>
                  <w:color w:val="0000FF"/>
                  <w:sz w:val="20"/>
                  <w:u w:val="single"/>
                </w:rPr>
                <w:t>4</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22">
              <w:r>
                <w:rPr>
                  <w:rStyle w:val="InternetLink"/>
                  <w:rFonts w:ascii="Times New Roman;serif" w:hAnsi="Times New Roman;serif"/>
                  <w:b w:val="false"/>
                  <w:color w:val="0000FF"/>
                  <w:sz w:val="20"/>
                  <w:u w:val="single"/>
                </w:rPr>
                <w:t xml:space="preserve">Condensed Consolidated Statements of Comprehensive Income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22">
              <w:r>
                <w:rPr>
                  <w:rStyle w:val="InternetLink"/>
                  <w:rFonts w:ascii="Times New Roman;serif" w:hAnsi="Times New Roman;serif"/>
                  <w:b w:val="false"/>
                  <w:color w:val="0000FF"/>
                  <w:sz w:val="20"/>
                  <w:u w:val="single"/>
                </w:rPr>
                <w:t>5</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25">
              <w:r>
                <w:rPr>
                  <w:rStyle w:val="InternetLink"/>
                  <w:rFonts w:ascii="Times New Roman;serif" w:hAnsi="Times New Roman;serif"/>
                  <w:b w:val="false"/>
                  <w:color w:val="0000FF"/>
                  <w:sz w:val="20"/>
                  <w:u w:val="single"/>
                </w:rPr>
                <w:t>6</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28">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28">
              <w:r>
                <w:rPr>
                  <w:rStyle w:val="InternetLink"/>
                  <w:rFonts w:ascii="Times New Roman;serif" w:hAnsi="Times New Roman;serif"/>
                  <w:b w:val="false"/>
                  <w:color w:val="0000FF"/>
                  <w:sz w:val="20"/>
                  <w:u w:val="single"/>
                </w:rPr>
                <w:t>7</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31">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31">
              <w:r>
                <w:rPr>
                  <w:rStyle w:val="InternetLink"/>
                  <w:rFonts w:ascii="Times New Roman;serif" w:hAnsi="Times New Roman;serif"/>
                  <w:b w:val="false"/>
                  <w:color w:val="0000FF"/>
                  <w:sz w:val="20"/>
                  <w:u w:val="single"/>
                </w:rPr>
                <w:t>9</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79">
              <w:r>
                <w:rPr>
                  <w:rStyle w:val="InternetLink"/>
                  <w:rFonts w:ascii="Times New Roman;serif" w:hAnsi="Times New Roman;serif"/>
                  <w:b w:val="false"/>
                  <w:color w:val="0000FF"/>
                  <w:sz w:val="20"/>
                  <w:u w:val="single"/>
                </w:rPr>
                <w:t>22</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94">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94">
              <w:r>
                <w:rPr>
                  <w:rStyle w:val="InternetLink"/>
                  <w:rFonts w:ascii="Times New Roman;serif" w:hAnsi="Times New Roman;serif"/>
                  <w:b w:val="false"/>
                  <w:color w:val="0000FF"/>
                  <w:sz w:val="20"/>
                  <w:u w:val="single"/>
                </w:rPr>
                <w:t>31</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97">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97">
              <w:r>
                <w:rPr>
                  <w:rStyle w:val="InternetLink"/>
                  <w:rFonts w:ascii="Times New Roman;serif" w:hAnsi="Times New Roman;serif"/>
                  <w:b w:val="false"/>
                  <w:color w:val="0000FF"/>
                  <w:sz w:val="20"/>
                  <w:u w:val="single"/>
                </w:rPr>
                <w:t>32</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00">
              <w:r>
                <w:rPr>
                  <w:rStyle w:val="InternetLink"/>
                  <w:rFonts w:ascii="Times New Roman;serif" w:hAnsi="Times New Roman;serif"/>
                  <w:b w:val="false"/>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00">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03">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03">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06">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06">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09">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09">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12">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12">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15">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15">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18">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18">
              <w:r>
                <w:rPr>
                  <w:rStyle w:val="InternetLink"/>
                  <w:rFonts w:ascii="Times New Roman;serif" w:hAnsi="Times New Roman;serif"/>
                  <w:b w:val="false"/>
                  <w:color w:val="0000FF"/>
                  <w:sz w:val="20"/>
                  <w:u w:val="single"/>
                </w:rPr>
                <w:t>33</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21">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21">
              <w:r>
                <w:rPr>
                  <w:rStyle w:val="InternetLink"/>
                  <w:rFonts w:ascii="Times New Roman;serif" w:hAnsi="Times New Roman;serif"/>
                  <w:b w:val="false"/>
                  <w:color w:val="0000FF"/>
                  <w:sz w:val="20"/>
                  <w:u w:val="single"/>
                </w:rPr>
                <w:t>34</w:t>
              </w:r>
            </w:hyperlink>
          </w:p>
        </w:tc>
      </w:tr>
      <w:t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80c408e95e94a62833fe0311b07680b_124">
              <w:r>
                <w:rPr>
                  <w:rStyle w:val="InternetLink"/>
                  <w:rFonts w:ascii="Times New Roman;serif" w:hAnsi="Times New Roman;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80c408e95e94a62833fe0311b07680b_124">
              <w:r>
                <w:rPr>
                  <w:rStyle w:val="InternetLink"/>
                  <w:rFonts w:ascii="Times New Roman;serif" w:hAnsi="Times New Roman;serif"/>
                  <w:b w:val="false"/>
                  <w:color w:val="0000FF"/>
                  <w:sz w:val="20"/>
                  <w:u w:val="single"/>
                </w:rPr>
                <w:t>35</w:t>
              </w:r>
            </w:hyperlink>
          </w:p>
        </w:tc>
      </w:tr>
    </w:tbl>
    <w:p>
      <w:pPr>
        <w:pStyle w:val="TextBody"/>
        <w:bidi w:val="0"/>
        <w:spacing w:before="340" w:after="34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pPr>
      <w:r>
        <w:rPr>
          <w:rFonts w:ascii="Times New Roman;serif" w:hAnsi="Times New Roman;serif"/>
          <w:b/>
          <w:color w:val="000000"/>
          <w:sz w:val="20"/>
        </w:rPr>
        <w:t xml:space="preserve">Part I. </w:t>
      </w: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pPr>
      <w:r>
        <w:rPr>
          <w:rFonts w:ascii="Times New Roman;serif" w:hAnsi="Times New Roman;serif"/>
          <w:b/>
          <w:color w:val="000000"/>
          <w:sz w:val="20"/>
        </w:rPr>
        <w:t xml:space="preserve">Item 1. </w:t>
      </w:r>
      <w:r>
        <w:rPr>
          <w:rFonts w:ascii="Times New Roman;serif" w:hAnsi="Times New Roman;serif"/>
          <w:b/>
          <w:color w:val="000000"/>
          <w:sz w:val="20"/>
          <w:u w:val="singl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984"/>
        <w:gridCol w:w="2138"/>
        <w:gridCol w:w="2090"/>
        <w:gridCol w:w="109"/>
        <w:gridCol w:w="109"/>
        <w:gridCol w:w="109"/>
        <w:gridCol w:w="211"/>
        <w:gridCol w:w="826"/>
        <w:gridCol w:w="109"/>
        <w:gridCol w:w="109"/>
        <w:gridCol w:w="109"/>
        <w:gridCol w:w="109"/>
        <w:gridCol w:w="211"/>
        <w:gridCol w:w="826"/>
        <w:gridCol w:w="156"/>
      </w:tblGrid>
      <w:tr>
        <w:tc>
          <w:tcPr>
            <w:tcW w:w="298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net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 net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authorized 20,000,000 shares; shares issued at September 30, 2026 and December 31, 2025, 11,115,779; shares outstanding at September 30, 2026 and December 31, 2025, 10,376,833 and 10,135,410,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at cost, 738,946 and 980,369 common stock shares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L.B. Foster Company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572"/>
        <w:gridCol w:w="1360"/>
        <w:gridCol w:w="133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c>
          <w:tcPr>
            <w:tcW w:w="157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3" w:type="dxa"/>
            <w:gridSpan w:val="12"/>
            <w:tcBorders/>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 attributable to L.B. Foster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14"/>
        <w:gridCol w:w="1587"/>
        <w:gridCol w:w="1601"/>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5"/>
      </w:tblGrid>
      <w:tr>
        <w:tc>
          <w:tcPr>
            <w:tcW w:w="1814"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09" w:type="dxa"/>
            <w:gridSpan w:val="6"/>
            <w:tcBorders/>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cash flow hedges, net of tax expense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Reclassifications out of “Accumulated other comprehensive loss” for pension obligations are charged to “Selling and administrative expenses” within the Condensed Consolidated Statements of Operations.</w:t>
            </w:r>
          </w:p>
        </w:tc>
      </w:tr>
    </w:tbl>
    <w:p>
      <w:pPr>
        <w:pStyle w:val="TextBody"/>
        <w:bidi w:val="0"/>
        <w:spacing w:before="180" w:after="283"/>
        <w:jc w:val="center"/>
      </w:p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200" w:type="dxa"/>
        <w:jc w:val="center"/>
        <w:tblInd w:w="0" w:type="dxa"/>
        <w:tblLayout w:type="fixed"/>
        <w:tblCellMar>
          <w:top w:w="28" w:type="dxa"/>
          <w:left w:w="28" w:type="dxa"/>
          <w:bottom w:w="28" w:type="dxa"/>
          <w:right w:w="28" w:type="dxa"/>
        </w:tblCellMar>
      </w:tblPr>
      <w:tblGrid>
        <w:gridCol w:w="2327"/>
        <w:gridCol w:w="2044"/>
        <w:gridCol w:w="2048"/>
        <w:gridCol w:w="109"/>
        <w:gridCol w:w="109"/>
        <w:gridCol w:w="109"/>
        <w:gridCol w:w="211"/>
        <w:gridCol w:w="721"/>
        <w:gridCol w:w="109"/>
        <w:gridCol w:w="109"/>
        <w:gridCol w:w="109"/>
        <w:gridCol w:w="109"/>
        <w:gridCol w:w="211"/>
        <w:gridCol w:w="721"/>
        <w:gridCol w:w="154"/>
      </w:tblGrid>
      <w:t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and fixed asset exit costs (Note 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nonconsolidated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 for Skratch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pPr>
      <w:r/>
    </w:p>
    <w:tbl>
      <w:tblPr>
        <w:tblW w:w="12089" w:type="dxa"/>
        <w:jc w:val="center"/>
        <w:tblInd w:w="0" w:type="dxa"/>
        <w:tblLayout w:type="fixed"/>
        <w:tblCellMar>
          <w:top w:w="28" w:type="dxa"/>
          <w:left w:w="28" w:type="dxa"/>
          <w:bottom w:w="28" w:type="dxa"/>
          <w:right w:w="28" w:type="dxa"/>
        </w:tblCellMar>
      </w:tblPr>
      <w:tblGrid>
        <w:gridCol w:w="727"/>
        <w:gridCol w:w="360"/>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09"/>
        <w:gridCol w:w="109"/>
        <w:gridCol w:w="109"/>
        <w:gridCol w:w="109"/>
        <w:gridCol w:w="109"/>
        <w:gridCol w:w="109"/>
        <w:gridCol w:w="109"/>
        <w:gridCol w:w="109"/>
        <w:gridCol w:w="154"/>
      </w:tblGrid>
      <w:tr>
        <w:tc>
          <w:tcPr>
            <w:tcW w:w="7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528 common shares,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1217" w:type="dxa"/>
        <w:jc w:val="center"/>
        <w:tblInd w:w="0" w:type="dxa"/>
        <w:tblLayout w:type="fixed"/>
        <w:tblCellMar>
          <w:top w:w="28" w:type="dxa"/>
          <w:left w:w="28" w:type="dxa"/>
          <w:bottom w:w="28" w:type="dxa"/>
          <w:right w:w="28" w:type="dxa"/>
        </w:tblCellMar>
      </w:tblPr>
      <w:tblGrid>
        <w:gridCol w:w="727"/>
        <w:gridCol w:w="360"/>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c>
          <w:tcPr>
            <w:tcW w:w="7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184,143 common shares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1,315 common shares,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pPr>
      <w:r/>
    </w:p>
    <w:tbl>
      <w:tblPr>
        <w:tblW w:w="11217"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2026</w:t>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241,423 common shares,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1217"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461,074 common shares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130,198 common shares,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nine months ended September 30, 2026 are not necessarily indicative of the results that may be expected for the year ending December 31, 2026. This Quarterly Report on Form 10-Q should be read in conjunction with the consolidated financial statements and footnotes thereto included in L.B. Foster Company’s Annual Report on Form 10-K for the year ended December 31, 2025. In this Quarterly Report on Form 10-Q, references to “we,” “us,” “our,” and the “Company” refer collectively to L.B. Foster Company and its consolidated subsidiaries.</w:t>
      </w:r>
    </w:p>
    <w:p>
      <w:pPr>
        <w:pStyle w:val="TextBody"/>
        <w:bidi w:val="0"/>
        <w:spacing w:before="0" w:after="0"/>
        <w:jc w:val="both"/>
      </w:pPr>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Recently Issued Accounting Standards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(“FASB”) issued Accounting Standards Update 2025-12, Codification Improvements (“ASU 2025-12”), to clarify guidance, correct technical errors, remove outdated language and improve consistency across various topics in the Accounting Standards Codification. The amendments in this ASU are effective for annual reporting periods beginning after December 15, 2026, including interim reporting periods within those annual periods. Early adoption is permitted. The Company is currently evaluating the impact of adopting this guidance on the consolidated financial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Accounting Standards Update 2025-11, Interim Reporting (Topic 270): Narrow-Scope Improvements (“ASU 2025-11”), to clarify the guidance in Topic 270 to improve consistency of interim financial reporting. ASU 2025-11 provides a list of required interim disclosures and established a disclosure principle requiring entities to disclose events since the end of the last annual report period that have a material impact on the entity. The amendments in ASU 2025-11 are effective for fiscal years beginning after December 15, 2027, including interim reporting periods within those fiscal years, with early adoption permitted. The Company is currently evaluating the impact of adopting this guidance on the consolidated financial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2. Business 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global technology solutions provider of engineered, manufactured products and services that builds and supports infrastructure. The Company determines its operating segments based on how the Company's Chief Operating Decision Maker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an appropriate metric for the activity type, including segment headcount, revenue contribution, or activity of the business units within the segments.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corporate costs are separately managed on a consolidated basis and are not allocated to the operating segments. These corporate costs include public company costs such as listing fees, audit fees, compliance costs, Director and Officer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net and certain other items included in “Other income - net”, which are managed on a consolidated basis, are not allocated to the operating segments.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 Company’s reportable segments were as follows for the periods presented:</w:t>
      </w:r>
    </w:p>
    <w:p>
      <w:pPr>
        <w:pStyle w:val="TextBody"/>
        <w:bidi w:val="0"/>
        <w:spacing w:before="0" w:after="0"/>
        <w:jc w:val="both"/>
      </w:pPr>
      <w:r/>
    </w:p>
    <w:p>
      <w:pPr>
        <w:pStyle w:val="TextBody"/>
        <w:bidi w:val="0"/>
        <w:spacing w:before="0" w:after="0"/>
        <w:jc w:val="both"/>
      </w:pPr>
      <w:r/>
    </w:p>
    <w:tbl>
      <w:tblPr>
        <w:tblW w:w="10251" w:type="dxa"/>
        <w:jc w:val="left"/>
        <w:tblInd w:w="0" w:type="dxa"/>
        <w:tblLayout w:type="fixed"/>
        <w:tblCellMar>
          <w:top w:w="28" w:type="dxa"/>
          <w:left w:w="28" w:type="dxa"/>
          <w:bottom w:w="28" w:type="dxa"/>
          <w:right w:w="28" w:type="dxa"/>
        </w:tblCellMar>
      </w:tblPr>
      <w:tblGrid>
        <w:gridCol w:w="512"/>
        <w:gridCol w:w="409"/>
        <w:gridCol w:w="415"/>
        <w:gridCol w:w="109"/>
        <w:gridCol w:w="109"/>
        <w:gridCol w:w="109"/>
        <w:gridCol w:w="211"/>
        <w:gridCol w:w="826"/>
        <w:gridCol w:w="109"/>
        <w:gridCol w:w="109"/>
        <w:gridCol w:w="109"/>
        <w:gridCol w:w="109"/>
        <w:gridCol w:w="213"/>
        <w:gridCol w:w="727"/>
        <w:gridCol w:w="111"/>
        <w:gridCol w:w="109"/>
        <w:gridCol w:w="109"/>
        <w:gridCol w:w="109"/>
        <w:gridCol w:w="211"/>
        <w:gridCol w:w="826"/>
        <w:gridCol w:w="109"/>
        <w:gridCol w:w="109"/>
        <w:gridCol w:w="109"/>
        <w:gridCol w:w="109"/>
        <w:gridCol w:w="109"/>
        <w:gridCol w:w="109"/>
        <w:gridCol w:w="109"/>
        <w:gridCol w:w="211"/>
        <w:gridCol w:w="721"/>
        <w:gridCol w:w="109"/>
        <w:gridCol w:w="109"/>
        <w:gridCol w:w="109"/>
        <w:gridCol w:w="109"/>
        <w:gridCol w:w="213"/>
        <w:gridCol w:w="727"/>
        <w:gridCol w:w="111"/>
        <w:gridCol w:w="109"/>
        <w:gridCol w:w="109"/>
        <w:gridCol w:w="109"/>
        <w:gridCol w:w="211"/>
        <w:gridCol w:w="826"/>
        <w:gridCol w:w="154"/>
      </w:tblGrid>
      <w:tr>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Purchased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General administrative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Purchased services costs generally include contractor services, insurance expenditures, rental expense, and legal services.</w:t>
      </w:r>
    </w:p>
    <w:p>
      <w:pPr>
        <w:pStyle w:val="TextBody"/>
        <w:bidi w:val="0"/>
        <w:spacing w:lineRule="auto" w:line="288" w:before="0" w:after="0"/>
        <w:jc w:val="both"/>
      </w:pPr>
      <w:r>
        <w:rPr>
          <w:rFonts w:ascii="Times New Roman;serif" w:hAnsi="Times New Roman;serif"/>
          <w:b w:val="false"/>
          <w:i/>
          <w:color w:val="000000"/>
          <w:sz w:val="13"/>
        </w:rPr>
        <w:t>(2)</w:t>
      </w:r>
      <w:r>
        <w:rPr>
          <w:rFonts w:ascii="Times New Roman;serif" w:hAnsi="Times New Roman;serif"/>
          <w:b w:val="false"/>
          <w:i/>
          <w:color w:val="000000"/>
          <w:sz w:val="20"/>
        </w:rPr>
        <w:t>General administrative costs generally include office supplies, utilities, advertising, bad debt expense, and any restructuring expenditures.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before="0" w:after="0"/>
        <w:jc w:val="both"/>
      </w:pPr>
      <w:r/>
    </w:p>
    <w:tbl>
      <w:tblPr>
        <w:tblW w:w="10546" w:type="dxa"/>
        <w:jc w:val="left"/>
        <w:tblInd w:w="0" w:type="dxa"/>
        <w:tblLayout w:type="fixed"/>
        <w:tblCellMar>
          <w:top w:w="28" w:type="dxa"/>
          <w:left w:w="28" w:type="dxa"/>
          <w:bottom w:w="28" w:type="dxa"/>
          <w:right w:w="28" w:type="dxa"/>
        </w:tblCellMar>
      </w:tblPr>
      <w:tblGrid>
        <w:gridCol w:w="512"/>
        <w:gridCol w:w="409"/>
        <w:gridCol w:w="4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Purchased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General administrative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i/>
          <w:color w:val="000000"/>
          <w:sz w:val="13"/>
        </w:rPr>
        <w:t xml:space="preserve">(1) </w:t>
      </w:r>
      <w:r>
        <w:rPr>
          <w:rFonts w:ascii="Times New Roman;serif" w:hAnsi="Times New Roman;serif"/>
          <w:b w:val="false"/>
          <w:i/>
          <w:color w:val="000000"/>
          <w:sz w:val="20"/>
        </w:rPr>
        <w:t>Purchased services costs generally include contractor services, insurance expenditures, rental expense, and legal services.</w:t>
      </w:r>
    </w:p>
    <w:p>
      <w:pPr>
        <w:pStyle w:val="TextBody"/>
        <w:bidi w:val="0"/>
        <w:spacing w:lineRule="auto" w:line="288" w:before="0" w:after="0"/>
        <w:jc w:val="both"/>
      </w:pPr>
      <w:r>
        <w:rPr>
          <w:rFonts w:ascii="Times New Roman;serif" w:hAnsi="Times New Roman;serif"/>
          <w:b w:val="false"/>
          <w:i/>
          <w:color w:val="000000"/>
          <w:sz w:val="13"/>
        </w:rPr>
        <w:t xml:space="preserve">(2) </w:t>
      </w:r>
      <w:r>
        <w:rPr>
          <w:rFonts w:ascii="Times New Roman;serif" w:hAnsi="Times New Roman;serif"/>
          <w:b w:val="false"/>
          <w:i/>
          <w:color w:val="000000"/>
          <w:sz w:val="20"/>
        </w:rPr>
        <w:t>General administrative costs generally include office supplies, utilities, advertising, bad debt expense, and any restructuring expenditures.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2022, the Company acquired the stock of Skratch Enterprises Ltd. for $7,402, which was inclusive of deferred payments withheld by the Company of $1,228, to be paid over five years or utilized to satisfy post-closing working capital adjustments or indemnity claims under the purchase agreement. During the nine months ended September 30, 2026 and 2025, the Company made deferred acquisition payments of $403 and $782, respectively.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charges included in segment results are discussed further in Note 13 to the Condensed Consolidated Financial Statements contained in this Quarterly Report on Form 10-Q.</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Reconciliations of reportable depreciation and amortization and expenditures for long-lived assets to the Company’s consolidated totals are as follows for the periods presented: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59"/>
        <w:gridCol w:w="589"/>
        <w:gridCol w:w="594"/>
        <w:gridCol w:w="109"/>
        <w:gridCol w:w="109"/>
        <w:gridCol w:w="109"/>
        <w:gridCol w:w="342"/>
        <w:gridCol w:w="1002"/>
        <w:gridCol w:w="179"/>
        <w:gridCol w:w="109"/>
        <w:gridCol w:w="109"/>
        <w:gridCol w:w="109"/>
        <w:gridCol w:w="423"/>
        <w:gridCol w:w="1235"/>
        <w:gridCol w:w="220"/>
        <w:gridCol w:w="109"/>
        <w:gridCol w:w="109"/>
        <w:gridCol w:w="109"/>
        <w:gridCol w:w="342"/>
        <w:gridCol w:w="1002"/>
        <w:gridCol w:w="179"/>
        <w:gridCol w:w="109"/>
        <w:gridCol w:w="109"/>
        <w:gridCol w:w="109"/>
        <w:gridCol w:w="413"/>
        <w:gridCol w:w="1208"/>
        <w:gridCol w:w="310"/>
      </w:tblGrid>
      <w:tr>
        <w:tc>
          <w:tcPr>
            <w:tcW w:w="8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859"/>
        <w:gridCol w:w="589"/>
        <w:gridCol w:w="594"/>
        <w:gridCol w:w="109"/>
        <w:gridCol w:w="109"/>
        <w:gridCol w:w="109"/>
        <w:gridCol w:w="342"/>
        <w:gridCol w:w="1002"/>
        <w:gridCol w:w="179"/>
        <w:gridCol w:w="109"/>
        <w:gridCol w:w="109"/>
        <w:gridCol w:w="109"/>
        <w:gridCol w:w="423"/>
        <w:gridCol w:w="1235"/>
        <w:gridCol w:w="220"/>
        <w:gridCol w:w="109"/>
        <w:gridCol w:w="109"/>
        <w:gridCol w:w="109"/>
        <w:gridCol w:w="342"/>
        <w:gridCol w:w="1002"/>
        <w:gridCol w:w="179"/>
        <w:gridCol w:w="109"/>
        <w:gridCol w:w="109"/>
        <w:gridCol w:w="109"/>
        <w:gridCol w:w="413"/>
        <w:gridCol w:w="1208"/>
        <w:gridCol w:w="310"/>
      </w:tblGrid>
      <w:tr>
        <w:tc>
          <w:tcPr>
            <w:tcW w:w="8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assets by reportable segment for the following periods:</w:t>
      </w:r>
    </w:p>
    <w:p>
      <w:pPr>
        <w:pStyle w:val="TextBody"/>
        <w:bidi w:val="0"/>
        <w:spacing w:before="0" w:after="0"/>
        <w:jc w:val="left"/>
      </w:pPr>
      <w:r/>
    </w:p>
    <w:tbl>
      <w:tblPr>
        <w:tblW w:w="5766" w:type="dxa"/>
        <w:jc w:val="left"/>
        <w:tblInd w:w="0" w:type="dxa"/>
        <w:tblLayout w:type="fixed"/>
        <w:tblCellMar>
          <w:top w:w="28" w:type="dxa"/>
          <w:left w:w="28" w:type="dxa"/>
          <w:bottom w:w="28" w:type="dxa"/>
          <w:right w:w="28" w:type="dxa"/>
        </w:tblCellMar>
      </w:tblPr>
      <w:tblGrid>
        <w:gridCol w:w="1004"/>
        <w:gridCol w:w="882"/>
        <w:gridCol w:w="889"/>
        <w:gridCol w:w="109"/>
        <w:gridCol w:w="109"/>
        <w:gridCol w:w="109"/>
        <w:gridCol w:w="211"/>
        <w:gridCol w:w="826"/>
        <w:gridCol w:w="109"/>
        <w:gridCol w:w="109"/>
        <w:gridCol w:w="109"/>
        <w:gridCol w:w="109"/>
        <w:gridCol w:w="211"/>
        <w:gridCol w:w="826"/>
        <w:gridCol w:w="154"/>
      </w:tblGrid>
      <w:t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sales by major product and service line for the periods presented:</w:t>
      </w:r>
    </w:p>
    <w:p>
      <w:pPr>
        <w:pStyle w:val="TextBody"/>
        <w:bidi w:val="0"/>
        <w:spacing w:before="0" w:after="0"/>
        <w:jc w:val="both"/>
      </w:pPr>
      <w:r/>
    </w:p>
    <w:tbl>
      <w:tblPr>
        <w:tblW w:w="8936" w:type="dxa"/>
        <w:jc w:val="left"/>
        <w:tblInd w:w="0" w:type="dxa"/>
        <w:tblLayout w:type="fixed"/>
        <w:tblCellMar>
          <w:top w:w="28" w:type="dxa"/>
          <w:left w:w="28" w:type="dxa"/>
          <w:bottom w:w="28" w:type="dxa"/>
          <w:right w:w="28" w:type="dxa"/>
        </w:tblCellMar>
      </w:tblPr>
      <w:tblGrid>
        <w:gridCol w:w="1086"/>
        <w:gridCol w:w="955"/>
        <w:gridCol w:w="95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Friction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Services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Precast Concrete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by the timing of the transfer of goods and services were as follows for the periods presented:</w:t>
      </w:r>
    </w:p>
    <w:p>
      <w:pPr>
        <w:pStyle w:val="TextBody"/>
        <w:bidi w:val="0"/>
        <w:spacing w:before="0" w:after="0"/>
        <w:jc w:val="both"/>
      </w:pPr>
      <w:r/>
    </w:p>
    <w:tbl>
      <w:tblPr>
        <w:tblW w:w="7557"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33"/>
        <w:gridCol w:w="1698"/>
        <w:gridCol w:w="224"/>
        <w:gridCol w:w="109"/>
        <w:gridCol w:w="109"/>
        <w:gridCol w:w="109"/>
        <w:gridCol w:w="352"/>
        <w:gridCol w:w="1205"/>
        <w:gridCol w:w="183"/>
        <w:gridCol w:w="109"/>
        <w:gridCol w:w="109"/>
        <w:gridCol w:w="109"/>
        <w:gridCol w:w="211"/>
        <w:gridCol w:w="826"/>
        <w:gridCol w:w="154"/>
      </w:tblGrid>
      <w:t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2026</w:t>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85,669 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6"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33"/>
        <w:gridCol w:w="1698"/>
        <w:gridCol w:w="224"/>
        <w:gridCol w:w="109"/>
        <w:gridCol w:w="109"/>
        <w:gridCol w:w="109"/>
        <w:gridCol w:w="320"/>
        <w:gridCol w:w="1254"/>
        <w:gridCol w:w="165"/>
        <w:gridCol w:w="109"/>
        <w:gridCol w:w="109"/>
        <w:gridCol w:w="109"/>
        <w:gridCol w:w="211"/>
        <w:gridCol w:w="826"/>
        <w:gridCol w:w="154"/>
      </w:tblGrid>
      <w:t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2026</w:t>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206,928 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249,709 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177,981 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6"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33"/>
        <w:gridCol w:w="1698"/>
        <w:gridCol w:w="224"/>
        <w:gridCol w:w="109"/>
        <w:gridCol w:w="109"/>
        <w:gridCol w:w="109"/>
        <w:gridCol w:w="320"/>
        <w:gridCol w:w="1254"/>
        <w:gridCol w:w="165"/>
        <w:gridCol w:w="109"/>
        <w:gridCol w:w="109"/>
        <w:gridCol w:w="109"/>
        <w:gridCol w:w="211"/>
        <w:gridCol w:w="826"/>
        <w:gridCol w:w="154"/>
      </w:tblGrid>
      <w:t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207,776 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171,860 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using an input measure based upon the proportion of actual costs incurred to estimated total project costs or an output method, specifically units delivered, based upon certain customer acceptance and delivery requirements. The use of an input or output measure to recognize revenue is determined based on what is most appropriate given the nature of the work performed and terms of the associated agreement. </w:t>
      </w:r>
    </w:p>
    <w:p>
      <w:pPr>
        <w:pStyle w:val="TextBody"/>
        <w:bidi w:val="0"/>
        <w:spacing w:before="0" w:after="0"/>
        <w:jc w:val="both"/>
      </w:pPr>
      <w:r/>
    </w:p>
    <w:p>
      <w:pPr>
        <w:pStyle w:val="TextBody"/>
        <w:bidi w:val="0"/>
        <w:spacing w:lineRule="auto" w:line="268" w:before="0" w:after="0"/>
        <w:jc w:val="both"/>
      </w:pPr>
      <w:r>
        <w:rPr>
          <w:rFonts w:ascii="Times New Roman;serif" w:hAnsi="Times New Roman;serif"/>
          <w:b w:val="false"/>
          <w:color w:val="000000"/>
          <w:sz w:val="20"/>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There were no significant changes in actual or expected values during the three and nine months ended September 30, 2026</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During the three and nine months ended September 30, 2025, reductions to net sales stemming from changes in actual and expected values of certain commercial contracts and settlements of such contracts were $1,476 and $3,123, respectively. The Company’s estimates related to these long-term agreements are further described in “Note 3. Revenue” of the Notes to the Company’s Consolidated Financial Statements contained in its Annual Report on Form 10-K for the year ended December 31,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recognized over time was as follows for the periods presented:</w:t>
      </w:r>
    </w:p>
    <w:p>
      <w:pPr>
        <w:pStyle w:val="TextBody"/>
        <w:bidi w:val="0"/>
        <w:spacing w:before="0" w:after="0"/>
        <w:jc w:val="both"/>
      </w:pPr>
      <w:r/>
    </w:p>
    <w:tbl>
      <w:tblPr>
        <w:tblW w:w="8050"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11"/>
        <w:gridCol w:w="721"/>
        <w:gridCol w:w="109"/>
        <w:gridCol w:w="109"/>
        <w:gridCol w:w="109"/>
        <w:gridCol w:w="109"/>
        <w:gridCol w:w="211"/>
        <w:gridCol w:w="721"/>
        <w:gridCol w:w="109"/>
        <w:gridCol w:w="109"/>
        <w:gridCol w:w="109"/>
        <w:gridCol w:w="109"/>
        <w:gridCol w:w="270"/>
        <w:gridCol w:w="241"/>
        <w:gridCol w:w="536"/>
        <w:gridCol w:w="215"/>
        <w:gridCol w:w="215"/>
        <w:gridCol w:w="215"/>
        <w:gridCol w:w="270"/>
        <w:gridCol w:w="241"/>
        <w:gridCol w:w="625"/>
      </w:tblGrid>
      <w:t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Percentage of Total Net Sales </w:t>
              <w:br/>
              <w:t>Three Months Ended September 30,</w:t>
            </w:r>
          </w:p>
        </w:tc>
      </w:tr>
      <w:t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 time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9247"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11"/>
        <w:gridCol w:w="826"/>
        <w:gridCol w:w="109"/>
        <w:gridCol w:w="109"/>
        <w:gridCol w:w="109"/>
        <w:gridCol w:w="109"/>
        <w:gridCol w:w="211"/>
        <w:gridCol w:w="721"/>
        <w:gridCol w:w="109"/>
        <w:gridCol w:w="109"/>
        <w:gridCol w:w="109"/>
        <w:gridCol w:w="109"/>
        <w:gridCol w:w="390"/>
        <w:gridCol w:w="390"/>
        <w:gridCol w:w="977"/>
        <w:gridCol w:w="390"/>
        <w:gridCol w:w="401"/>
        <w:gridCol w:w="109"/>
        <w:gridCol w:w="109"/>
        <w:gridCol w:w="109"/>
        <w:gridCol w:w="255"/>
        <w:gridCol w:w="256"/>
        <w:gridCol w:w="271"/>
        <w:gridCol w:w="109"/>
        <w:gridCol w:w="154"/>
      </w:tblGrid>
      <w:t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Percentage of Total Net Sales </w:t>
              <w:b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 time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contract assets:</w:t>
      </w:r>
    </w:p>
    <w:p>
      <w:pPr>
        <w:pStyle w:val="TextBody"/>
        <w:bidi w:val="0"/>
        <w:spacing w:before="0" w:after="0"/>
        <w:jc w:val="both"/>
      </w:pPr>
      <w:r/>
    </w:p>
    <w:tbl>
      <w:tblPr>
        <w:tblW w:w="6521" w:type="dxa"/>
        <w:jc w:val="left"/>
        <w:tblInd w:w="0" w:type="dxa"/>
        <w:tblLayout w:type="fixed"/>
        <w:tblCellMar>
          <w:top w:w="28" w:type="dxa"/>
          <w:left w:w="28" w:type="dxa"/>
          <w:bottom w:w="28" w:type="dxa"/>
          <w:right w:w="28" w:type="dxa"/>
        </w:tblCellMar>
      </w:tblPr>
      <w:tblGrid>
        <w:gridCol w:w="1809"/>
        <w:gridCol w:w="1587"/>
        <w:gridCol w:w="1598"/>
        <w:gridCol w:w="109"/>
        <w:gridCol w:w="109"/>
        <w:gridCol w:w="109"/>
        <w:gridCol w:w="258"/>
        <w:gridCol w:w="754"/>
        <w:gridCol w:w="188"/>
      </w:tblGrid>
      <w:tr>
        <w:tc>
          <w:tcPr>
            <w:tcW w:w="18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Contract Assets</w:t>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but not yet billed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Transfers from contract asset balance to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contract liabilities:</w:t>
      </w:r>
    </w:p>
    <w:p>
      <w:pPr>
        <w:pStyle w:val="TextBody"/>
        <w:bidi w:val="0"/>
        <w:spacing w:before="0" w:after="0"/>
        <w:jc w:val="both"/>
      </w:pPr>
      <w:r/>
    </w:p>
    <w:tbl>
      <w:tblPr>
        <w:tblW w:w="7407" w:type="dxa"/>
        <w:jc w:val="left"/>
        <w:tblInd w:w="0" w:type="dxa"/>
        <w:tblLayout w:type="fixed"/>
        <w:tblCellMar>
          <w:top w:w="28" w:type="dxa"/>
          <w:left w:w="28" w:type="dxa"/>
          <w:bottom w:w="28" w:type="dxa"/>
          <w:right w:w="28" w:type="dxa"/>
        </w:tblCellMar>
      </w:tblPr>
      <w:tblGrid>
        <w:gridCol w:w="2038"/>
        <w:gridCol w:w="1787"/>
        <w:gridCol w:w="1800"/>
        <w:gridCol w:w="109"/>
        <w:gridCol w:w="109"/>
        <w:gridCol w:w="109"/>
        <w:gridCol w:w="313"/>
        <w:gridCol w:w="914"/>
        <w:gridCol w:w="228"/>
      </w:tblGrid>
      <w:tr>
        <w:tc>
          <w:tcPr>
            <w:tcW w:w="203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Contract Liabilities</w:t>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billings in excess of cost, excluding revenue recognized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approximately $234,741 of remaining performance obligations, which is also referred to as backlog. Approximately 11.9% of the September 30, 2026 backlog was related to projects that are anticipated to extend beyond September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4. Goodwill and Other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balance by reportable segment for the period presented:</w:t>
      </w:r>
    </w:p>
    <w:p>
      <w:pPr>
        <w:pStyle w:val="TextBody"/>
        <w:bidi w:val="0"/>
        <w:spacing w:before="0" w:after="0"/>
        <w:jc w:val="both"/>
      </w:pPr>
      <w:r/>
    </w:p>
    <w:tbl>
      <w:tblPr>
        <w:tblW w:w="9393" w:type="dxa"/>
        <w:jc w:val="left"/>
        <w:tblInd w:w="0" w:type="dxa"/>
        <w:tblLayout w:type="fixed"/>
        <w:tblCellMar>
          <w:top w:w="28" w:type="dxa"/>
          <w:left w:w="28" w:type="dxa"/>
          <w:bottom w:w="28" w:type="dxa"/>
          <w:right w:w="28" w:type="dxa"/>
        </w:tblCellMar>
      </w:tblPr>
      <w:tblGrid>
        <w:gridCol w:w="1092"/>
        <w:gridCol w:w="958"/>
        <w:gridCol w:w="965"/>
        <w:gridCol w:w="109"/>
        <w:gridCol w:w="109"/>
        <w:gridCol w:w="109"/>
        <w:gridCol w:w="477"/>
        <w:gridCol w:w="1631"/>
        <w:gridCol w:w="246"/>
        <w:gridCol w:w="109"/>
        <w:gridCol w:w="109"/>
        <w:gridCol w:w="109"/>
        <w:gridCol w:w="352"/>
        <w:gridCol w:w="1204"/>
        <w:gridCol w:w="183"/>
        <w:gridCol w:w="109"/>
        <w:gridCol w:w="109"/>
        <w:gridCol w:w="109"/>
        <w:gridCol w:w="109"/>
        <w:gridCol w:w="109"/>
        <w:gridCol w:w="211"/>
        <w:gridCol w:w="721"/>
        <w:gridCol w:w="154"/>
      </w:tblGrid>
      <w:t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21,058 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September 30, 2026. However, future impairment charges could result if future projections diverge unfavorably from current expectations.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intangible assets for the periods presented:</w:t>
      </w:r>
    </w:p>
    <w:p>
      <w:pPr>
        <w:pStyle w:val="TextBody"/>
        <w:bidi w:val="0"/>
        <w:spacing w:before="0" w:after="0"/>
        <w:jc w:val="both"/>
      </w:pPr>
      <w:r/>
    </w:p>
    <w:tbl>
      <w:tblPr>
        <w:tblW w:w="8473" w:type="dxa"/>
        <w:jc w:val="left"/>
        <w:tblInd w:w="0" w:type="dxa"/>
        <w:tblLayout w:type="fixed"/>
        <w:tblCellMar>
          <w:top w:w="28" w:type="dxa"/>
          <w:left w:w="28" w:type="dxa"/>
          <w:bottom w:w="28" w:type="dxa"/>
          <w:right w:w="28" w:type="dxa"/>
        </w:tblCellMar>
      </w:tblPr>
      <w:tblGrid>
        <w:gridCol w:w="871"/>
        <w:gridCol w:w="769"/>
        <w:gridCol w:w="775"/>
        <w:gridCol w:w="109"/>
        <w:gridCol w:w="109"/>
        <w:gridCol w:w="109"/>
        <w:gridCol w:w="464"/>
        <w:gridCol w:w="464"/>
        <w:gridCol w:w="466"/>
        <w:gridCol w:w="109"/>
        <w:gridCol w:w="109"/>
        <w:gridCol w:w="109"/>
        <w:gridCol w:w="211"/>
        <w:gridCol w:w="721"/>
        <w:gridCol w:w="109"/>
        <w:gridCol w:w="109"/>
        <w:gridCol w:w="109"/>
        <w:gridCol w:w="109"/>
        <w:gridCol w:w="211"/>
        <w:gridCol w:w="796"/>
        <w:gridCol w:w="109"/>
        <w:gridCol w:w="109"/>
        <w:gridCol w:w="109"/>
        <w:gridCol w:w="109"/>
        <w:gridCol w:w="211"/>
        <w:gridCol w:w="616"/>
        <w:gridCol w:w="109"/>
        <w:gridCol w:w="109"/>
        <w:gridCol w:w="154"/>
      </w:tblGrid>
      <w:t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tbl>
      <w:tblPr>
        <w:tblW w:w="8360" w:type="dxa"/>
        <w:jc w:val="left"/>
        <w:tblInd w:w="0" w:type="dxa"/>
        <w:tblLayout w:type="fixed"/>
        <w:tblCellMar>
          <w:top w:w="28" w:type="dxa"/>
          <w:left w:w="28" w:type="dxa"/>
          <w:bottom w:w="28" w:type="dxa"/>
          <w:right w:w="28" w:type="dxa"/>
        </w:tblCellMar>
      </w:tblPr>
      <w:tblGrid>
        <w:gridCol w:w="871"/>
        <w:gridCol w:w="769"/>
        <w:gridCol w:w="775"/>
        <w:gridCol w:w="109"/>
        <w:gridCol w:w="109"/>
        <w:gridCol w:w="109"/>
        <w:gridCol w:w="464"/>
        <w:gridCol w:w="464"/>
        <w:gridCol w:w="466"/>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5. Accounts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reserves for uncollectible accounts are recorded as part of “Selling and administrative expenses” in the Condensed Consolidated Statements of Operations and are recorded net of recoveries of previous write-offs. During the three months ended September 30, 2026 and 2025, the Company recorded a net expense of $294 and a net benefit of $74, respectively, and a net expense of $762 and $444 for the nine months ended September 30, 2026 and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allowance for credit losses:</w:t>
      </w:r>
    </w:p>
    <w:p>
      <w:pPr>
        <w:pStyle w:val="TextBody"/>
        <w:bidi w:val="0"/>
        <w:spacing w:before="0" w:after="0"/>
        <w:jc w:val="both"/>
      </w:pPr>
      <w:r/>
    </w:p>
    <w:tbl>
      <w:tblPr>
        <w:tblW w:w="5291" w:type="dxa"/>
        <w:jc w:val="left"/>
        <w:tblInd w:w="0" w:type="dxa"/>
        <w:tblLayout w:type="fixed"/>
        <w:tblCellMar>
          <w:top w:w="28" w:type="dxa"/>
          <w:left w:w="28" w:type="dxa"/>
          <w:bottom w:w="28" w:type="dxa"/>
          <w:right w:w="28" w:type="dxa"/>
        </w:tblCellMar>
      </w:tblPr>
      <w:tblGrid>
        <w:gridCol w:w="1038"/>
        <w:gridCol w:w="910"/>
        <w:gridCol w:w="917"/>
        <w:gridCol w:w="109"/>
        <w:gridCol w:w="109"/>
        <w:gridCol w:w="109"/>
        <w:gridCol w:w="451"/>
        <w:gridCol w:w="1319"/>
        <w:gridCol w:w="329"/>
      </w:tblGrid>
      <w:t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against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both"/>
      </w:pPr>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6. Inventory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Inventory is valued at average cost or net realizable value, whichever is lower. The Company’s components of inventory are summarized in the following table for the periods presented:</w:t>
      </w:r>
    </w:p>
    <w:p>
      <w:pPr>
        <w:pStyle w:val="TextBody"/>
        <w:bidi w:val="0"/>
        <w:spacing w:before="0" w:after="0"/>
        <w:jc w:val="both"/>
      </w:pPr>
      <w:r/>
    </w:p>
    <w:tbl>
      <w:tblPr>
        <w:tblW w:w="4344" w:type="dxa"/>
        <w:jc w:val="left"/>
        <w:tblInd w:w="0" w:type="dxa"/>
        <w:tblLayout w:type="fixed"/>
        <w:tblCellMar>
          <w:top w:w="28" w:type="dxa"/>
          <w:left w:w="28" w:type="dxa"/>
          <w:bottom w:w="28" w:type="dxa"/>
          <w:right w:w="28" w:type="dxa"/>
        </w:tblCellMar>
      </w:tblPr>
      <w:tblGrid>
        <w:gridCol w:w="527"/>
        <w:gridCol w:w="463"/>
        <w:gridCol w:w="466"/>
        <w:gridCol w:w="109"/>
        <w:gridCol w:w="109"/>
        <w:gridCol w:w="109"/>
        <w:gridCol w:w="225"/>
        <w:gridCol w:w="769"/>
        <w:gridCol w:w="116"/>
        <w:gridCol w:w="109"/>
        <w:gridCol w:w="109"/>
        <w:gridCol w:w="109"/>
        <w:gridCol w:w="218"/>
        <w:gridCol w:w="747"/>
        <w:gridCol w:w="159"/>
      </w:tblGrid>
      <w:t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Note 7. Long-Term Debt and Related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p>
      <w:pPr>
        <w:pStyle w:val="TextBody"/>
        <w:bidi w:val="0"/>
        <w:spacing w:before="0" w:after="0"/>
        <w:jc w:val="both"/>
      </w:pPr>
      <w:r/>
    </w:p>
    <w:tbl>
      <w:tblPr>
        <w:tblW w:w="6307" w:type="dxa"/>
        <w:jc w:val="left"/>
        <w:tblInd w:w="0" w:type="dxa"/>
        <w:tblLayout w:type="fixed"/>
        <w:tblCellMar>
          <w:top w:w="28" w:type="dxa"/>
          <w:left w:w="28" w:type="dxa"/>
          <w:bottom w:w="28" w:type="dxa"/>
          <w:right w:w="28" w:type="dxa"/>
        </w:tblCellMar>
      </w:tblPr>
      <w:tblGrid>
        <w:gridCol w:w="1238"/>
        <w:gridCol w:w="1087"/>
        <w:gridCol w:w="1094"/>
        <w:gridCol w:w="109"/>
        <w:gridCol w:w="109"/>
        <w:gridCol w:w="109"/>
        <w:gridCol w:w="225"/>
        <w:gridCol w:w="769"/>
        <w:gridCol w:w="116"/>
        <w:gridCol w:w="109"/>
        <w:gridCol w:w="109"/>
        <w:gridCol w:w="109"/>
        <w:gridCol w:w="218"/>
        <w:gridCol w:w="747"/>
        <w:gridCol w:w="159"/>
      </w:tblGrid>
      <w:t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financing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which expires on June 27, 2030,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two financial covenants: (a) Maximum Gross Leverage Ratio, defined as the Company’s Consolidated Indebtedness divided by the Company’s Consolidated EBITDA,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was in compliance with the covenants in the Credit Agreement, as amended, and had outstanding letters of credit of approximately $708.</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Earnings Per Common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amounts in thousands)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common share for the periods indicated:</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893"/>
        <w:gridCol w:w="1552"/>
        <w:gridCol w:w="155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5"/>
      </w:tblGrid>
      <w:tr>
        <w:tc>
          <w:tcPr>
            <w:tcW w:w="189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adjusted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for the three and nine months ended September 30, 2026 excluded 0 and 19 antidilutive shares,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the Company recorded an income tax expense of $2,547 and $2,812, respectively, on pre-tax income of $9,314 and $7,137, respectively, for an effective income tax rate of 27.3% and 39.4%, respectively. For the nine months ended September 30, 2026 and 2025, the Company recorded an income tax expense of $4,802 and $5,625, respectively, on pre-tax income of $16,176 and $10,672, respectively, for an effective income tax rate of 29.7% and 52.7%, respectively. The Company's effective income tax rate for the three and nine months ended September 30, 2026, differed from the federal statutory rate of 21% primarily due to state income taxes and the impact of pre-tax losses in the United Kingdom, for which no income tax benefit was recognized due to a valuation allowance; the nine months ended September 30, 2026, was also impacted by excess tax benefits related to share-based compensation. Changes in pre-tax income projections, combined with the seasonal nature of our businesses, also impact the effective income tax rate each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of $1,214 and $1,306 for the three months ended September 30, 2026 and 2025, respectively, and $4,477 and $3,417 for the nine months ended September 30, 2026 and 2025, respectively, related to restricted stock awards, restricted stock units, and performance-based stock and stock unit awards. As of September 30, 2026, unrecognized compensation expense for awards that the Company expects to vest approximated $5,564. The Company will recognize this unrecognized compensation expense over a weighted average 1.7 years through May 22, 2028.</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22, 2025, the shareholders approved the new 2025 Equity and Incentive Compensation Plan (the “Equity and Incentive Compensation Plan”). As of September 30, 2026, the Company had stock awards issued pursuant to the Equity and Incentive Compensation Plan and its predecessor, the 2006 Omnibus Incentive Compensation Plan (the “Omnibus Plan”). No stock options are outstanding under the Omnibus Plan or the Equity and Incentive Compensation Plan and, as such, there was no stock-based compensation expense related to stock options recorded for the three and nine months ended September 30, 2026 and 2025.</w:t>
      </w:r>
    </w:p>
    <w:p>
      <w:pPr>
        <w:pStyle w:val="TextBody"/>
        <w:bidi w:val="0"/>
        <w:spacing w:before="0" w:after="0"/>
        <w:jc w:val="both"/>
      </w:p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Non-Employee Director Restricted Stock Awards and Fully-Vested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permits non-employee directors of the Company to defer receipt of earned cash and/or stock compensation for service on the Board into deferred stock units. Non-Employee directors may also elect to receive quarterly cash compensation in the form of fully-vested stock. During 2026, one Board member has elected to receive fully-vested stock in lieu of cash compensation.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Restricted Stock, Restricted Stock Units, and Performance-Based Stock and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Equity and Incentive Compensation Plan and Omnibus Plan, the Company grants certain employees restricted stock, restricted stock units, and performance-based stock and stock units. The forfeitable restricted stock awards and restricted stock units granted generally time-vest ratably over a three-year period, unless indicated otherwise by the underlying restricted stock award and restricted stock unit agreement. Performance stock unit awards are offered annually under separate three-year long-term incentive programs, unless indicated otherwise by the underlying performance unit award agreement. Performance stock units are subject to forfeiture and will be converted into common stock based upon the Company’s performance relative to performance measures and conversion multiples as defined in the underlying program. For restricted stock units granted in 2026, participants who meet the definition of normal retirement, as defined in the 2026 Restricted Stock Unit Agreement filed as Exhibit 10.1 to the Company's Quarterly Report on Form 10-Q for the quarter ended March 31, 2026, the awards continue to vest without the requirement of future service; for these awards, the Company recognizes compensation expense over the period from grant date through the date the employee becomes retirement eligible.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restricted stock units, and performance-based stock and stock unit activity for the periods presented:</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988"/>
        <w:gridCol w:w="867"/>
        <w:gridCol w:w="872"/>
        <w:gridCol w:w="109"/>
        <w:gridCol w:w="109"/>
        <w:gridCol w:w="109"/>
        <w:gridCol w:w="442"/>
        <w:gridCol w:w="444"/>
        <w:gridCol w:w="261"/>
        <w:gridCol w:w="109"/>
        <w:gridCol w:w="109"/>
        <w:gridCol w:w="109"/>
        <w:gridCol w:w="109"/>
        <w:gridCol w:w="109"/>
        <w:gridCol w:w="532"/>
        <w:gridCol w:w="486"/>
        <w:gridCol w:w="487"/>
        <w:gridCol w:w="109"/>
        <w:gridCol w:w="109"/>
        <w:gridCol w:w="109"/>
        <w:gridCol w:w="595"/>
        <w:gridCol w:w="595"/>
        <w:gridCol w:w="597"/>
        <w:gridCol w:w="109"/>
        <w:gridCol w:w="109"/>
        <w:gridCol w:w="109"/>
        <w:gridCol w:w="324"/>
        <w:gridCol w:w="946"/>
        <w:gridCol w:w="243"/>
      </w:tblGrid>
      <w:t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Performance-Based Stock</w:t>
              <w:br/>
              <w:t>and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Grant Date Fair Value</w:t>
            </w:r>
          </w:p>
        </w:tc>
      </w:tr>
      <w:t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191,032 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523,934 </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60,614 </w:t>
            </w:r>
          </w:p>
        </w:tc>
        <w:tc>
          <w:tcPr>
            <w:tcW w:w="4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84,973 </w:t>
            </w:r>
          </w:p>
        </w:tc>
        <w:tc>
          <w:tcPr>
            <w:tcW w:w="59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(119,992)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(239,786)</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82,855 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60,614 </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282,288 </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*Includes stock units for which the performance obligation has been met and are subject only to time vesting requirements prior to distribution.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Retirement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23, 2024, the Company's Board of Directors approved the termination of the frozen Portec Rail Products (UK) Limited Pension Scheme (the “UK DB Plan”). At such time, the Company notified all plan participants of the Company's intentions to terminate and fully settle the obligations. In January 2025, the Company entered into an insurance buy-in contract with a third party insurer which resulted in an exchange of plan assets of the UK DB Plan for an annuity that covers our future projected benefit obligations. The Company does not expect to make any further contributions to the UK DB Plan.</w:t>
      </w:r>
    </w:p>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Defined Contribution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pStyle w:val="TextBody"/>
        <w:bidi w:val="0"/>
        <w:spacing w:before="0" w:after="0"/>
        <w:jc w:val="both"/>
      </w:pPr>
      <w:r/>
    </w:p>
    <w:tbl>
      <w:tblPr>
        <w:tblW w:w="6582"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12. Commitments and Contingent Liabilities</w:t>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Product Liability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Other 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September 30, 2026.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September 30, 2026, no such disclosures were considered necessary.</w:t>
      </w:r>
    </w:p>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Environmental and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national, state, foreign, provincial, and/or local laws and regulations relating to the protection of the environment. The Company’s efforts to comply with environmental regulations may have an adverse effect on its future earnings.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2017, the Company, along with more than 140 other companies, received a General Notice Letter from the United States Environmental Protection Agency (“EPA”) indicating that the Company may be a potentially responsible party (“PRP”) regarding the Portland Harbor Superfund Site cleanup.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party to a PRP agreement that provides for a private allocation process among almost 100 PRPs in a working group, whose work remains ongoing and involves a process that the Company expects ultimately will result in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that was dissolved in 1994. </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significant uncertainties regarding the potential liability allocations among the PRPs and the Company's corresponding allocation percentage of remedial costs,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Due to the continuing significant uncertainties related to the potential total cost, scope and scale of the site remediation and the ongoing allocation review process, the Company is unable to reasonably estimate an amount or range for potential exposure at this time. An unfavorable resolution of factors such as those described above could have a material adverse effect on the financial condition, results of operations, cash flows, competitive position, or capital expenditures of the Company. As of September 30, 2026 and December 31, 2025, the Company maintained environmental reserves approximating $1,495 for all of its environmental liabilities of which $1,250 is related to the ongoing Portland Harbor Superfund Site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13. Restructuring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announced the discontinuation of its Automation and Materials Handling (“AMH”) product line which was reported in the Technology Services and Solutions business unit within the Rail segment (the “AMH Exit”). For the three and nine months ended September 30, 2025, AMH had net sales of $530 and $1,750, respectively. During the nine months ended September 30, 2025, the Company incurred a total of $1,351 in exit costs associated with the AMH Exit, which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included $655 in inventory and fixed asset write-downs, $507 in personnel expenses, and $189 in other exit costs. Exit costs of $1,085 were recorded in “Cost of goods sold” and $266 were recorded in “Selling and administrative expenses” within our Rail segment. The Company completed the remaining customer obligations in 2025 and all exit costs were incurred in the second quarter of 2025.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announced a restructuring program aligned with its strategy to reduce costs in the UK-based Technology Services and Solutions business unit within the Rail segment. The restructuring action has been completed as of December 31, 2025. The Company does not expect to incur additional material expenses associated with this program.</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announced the discontinuation of certain product lines within our Tew Engineering business (the “Tew Exit”) which was reported in the Technology Services and Solutions business unit within the Rail segment. The decision to exit was due to the Company's initiatives to scale back unprofitable product lines in the United Kingdom. The Company expects to complete any remaining customer obligations by the end of 2027. The product lines had net sales of $1,215 and $943 for the three months ended September 30, 2026 and 2025, respectively, and $2,467 and $2,777 for the nine months ended September 30, 2026 and 2025, respectively. During the nine months ended September 30, 2026, the Company recognized a total of $2,270 in exit costs associated with the Tew Exit, which included $1,059 in inventory write-downs, $1,159 in personnel expenses, and $52 in other exit costs. Exit costs of $2,084 were recorded in “Cost of goods sold” and $186 were recorded in “Selling and administrative expenses.” The Company does not expect to incur additional material expenses associated with this program. In addition to the Tew Exit costs, for the nine months ended September 30, 2026, the Company incurred corporate costs recorded in “Selling and administrative expenses” of $292 related to the execution of strategic initiatives.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beginning and ending restructuring liability balance for all programs through September 30, 2026:</w:t>
      </w:r>
    </w:p>
    <w:p>
      <w:pPr>
        <w:pStyle w:val="TextBody"/>
        <w:bidi w:val="0"/>
        <w:spacing w:before="0" w:after="0"/>
        <w:jc w:val="both"/>
      </w:pPr>
      <w:r/>
    </w:p>
    <w:tbl>
      <w:tblPr>
        <w:tblW w:w="4902" w:type="dxa"/>
        <w:jc w:val="left"/>
        <w:tblInd w:w="0" w:type="dxa"/>
        <w:tblLayout w:type="fixed"/>
        <w:tblCellMar>
          <w:top w:w="28" w:type="dxa"/>
          <w:left w:w="28" w:type="dxa"/>
          <w:bottom w:w="28" w:type="dxa"/>
          <w:right w:w="28" w:type="dxa"/>
        </w:tblCellMar>
      </w:tblPr>
      <w:tblGrid>
        <w:gridCol w:w="1038"/>
        <w:gridCol w:w="910"/>
        <w:gridCol w:w="917"/>
        <w:gridCol w:w="109"/>
        <w:gridCol w:w="109"/>
        <w:gridCol w:w="109"/>
        <w:gridCol w:w="367"/>
        <w:gridCol w:w="1073"/>
        <w:gridCol w:w="270"/>
      </w:tblGrid>
      <w:t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Restructuring Liability</w:t>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and other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14. Subsequent Event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28, 2026, the Company completed the acquisition of the operating assets of the residential wastewater precast business and the Aeris aerobic treatment systems platform of Dulworth Enterprises Inc. (“Dulworth”) for cash consideration of approximately $52,180, which was funded through borrowings under its existing revolving credit facility. Dulworth will be included in the Precast Concrete Products business unit within the Infrastructure Solutions segment. The acquisition will be accounted for as a business combination under ASC 805; however, due to the limited time between the acquisition date and the Company's filing of this Quarterly Report on Form 10-Q, the purchase accounting is not complete and the allocation of the purchase price to the acquired assets and assumed liabilities has not been finalized.</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60"/>
        <w:jc w:val="both"/>
      </w:pPr>
      <w:r>
        <w:rPr>
          <w:rFonts w:ascii="Times New Roman;serif" w:hAnsi="Times New Roman;serif"/>
          <w:b/>
          <w:color w:val="000000"/>
          <w:sz w:val="20"/>
        </w:rPr>
        <w:t xml:space="preserve">Item 2. </w:t>
      </w:r>
      <w:r>
        <w:rPr>
          <w:rFonts w:ascii="Times New Roman;serif" w:hAnsi="Times New Roman;serif"/>
          <w:b/>
          <w:color w:val="000000"/>
          <w:sz w:val="20"/>
          <w:u w:val="single"/>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including but not limited to the Dulworth acquisition;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120"/>
        <w:jc w:val="left"/>
        <w:rPr>
          <w:rFonts w:ascii="Times New Roman;serif" w:hAnsi="Times New Roman;serif"/>
          <w:b/>
          <w:color w:val="000000"/>
          <w:sz w:val="20"/>
          <w:u w:val="single"/>
        </w:rPr>
      </w:pPr>
      <w:r>
        <w:rPr>
          <w:rFonts w:ascii="Times New Roman;serif" w:hAnsi="Times New Roman;serif"/>
          <w:b/>
          <w:color w:val="000000"/>
          <w:sz w:val="20"/>
          <w:u w:val="single"/>
        </w:rPr>
        <w:t>General Overview and Business Update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Product Line Exits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30, 2023, the Company announced the discontinuation of its Bridge Products grid deck product line which was reported in the Steel Products business unit within the Infrastructure segment. For the three and nine months ended September 30, 2025, the product line had net sales of $94 and $1,093, respectively. The Company completed all customer obligations in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announced the discontinuation of its Automation and Materials Handling (“AMH”) product line which was reported in the Technology Services and Solutions business unit within the Rail segment (the “AMH Exit”). For the three and nine months ended September 30, 2025, AMH had net sales of $530 and $1,750, respectively. During the nine months ended September 30, 2025, the Company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 The Company completed the remaining customer obligations in 2025 and all exit costs were incurred in the second quarter of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announced the discontinuation of certain product lines within our Tew Engineering business (the “Tew Exit”) which was reported in the Technology Services and Solutions business unit within the Rail segment. The decision to exit was due to the Company's initiatives to scale back unprofitable product lines in the United Kingdom. The product lines had net sales of $1,215 and $943 for the three months ended September 30, 2026 and 2025, respectively, and $2,467 and $2,777 for the nine months ended September 30, 2026 and 2025, respectively. The Company expects to complete remaining customer obligations by 2027. During the nine months ended September 30, 2026, the Company has recognized a total of $2,270 in exit costs associated with the Tew Exit, which included $1,059 in inventory write-downs, $1,159 in personnel expenses, and $52 in other exit costs. Exit costs of $2,084 were recorded in “Cost of goods sold” and $186 were recorded in “Selling and administrative expenses” within our Rail segment. In addition to the Tew Exit costs, for the nine months ended September 30, 2026, the Company incurred corporate costs recorded in “Selling and administrative expenses” of $292 related to the execution of strategic initiatives.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Third Quarter 2026 Compared to Third Quarter 2025</w:t>
      </w:r>
    </w:p>
    <w:tbl>
      <w:tblPr>
        <w:tblW w:w="10025" w:type="dxa"/>
        <w:jc w:val="left"/>
        <w:tblInd w:w="0" w:type="dxa"/>
        <w:tblLayout w:type="fixed"/>
        <w:tblCellMar>
          <w:top w:w="28" w:type="dxa"/>
          <w:left w:w="28" w:type="dxa"/>
          <w:bottom w:w="28" w:type="dxa"/>
          <w:right w:w="28" w:type="dxa"/>
        </w:tblCellMar>
      </w:tblPr>
      <w:tblGrid>
        <w:gridCol w:w="1697"/>
        <w:gridCol w:w="1483"/>
        <w:gridCol w:w="1500"/>
        <w:gridCol w:w="109"/>
        <w:gridCol w:w="109"/>
        <w:gridCol w:w="109"/>
        <w:gridCol w:w="211"/>
        <w:gridCol w:w="826"/>
        <w:gridCol w:w="271"/>
        <w:gridCol w:w="109"/>
        <w:gridCol w:w="109"/>
        <w:gridCol w:w="109"/>
        <w:gridCol w:w="211"/>
        <w:gridCol w:w="826"/>
        <w:gridCol w:w="271"/>
        <w:gridCol w:w="109"/>
        <w:gridCol w:w="109"/>
        <w:gridCol w:w="109"/>
        <w:gridCol w:w="225"/>
        <w:gridCol w:w="769"/>
        <w:gridCol w:w="116"/>
        <w:gridCol w:w="109"/>
        <w:gridCol w:w="109"/>
        <w:gridCol w:w="109"/>
        <w:gridCol w:w="311"/>
      </w:tblGrid>
      <w:tr>
        <w:tc>
          <w:tcPr>
            <w:tcW w:w="169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Results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September 30, 2026 increased $29,710, or 21.5%, over the prior year quarter, driven by higher sales in both segments. Rail net sales increased $25,133, or 32.3%, while Infrastructure increased $4,577, or 7.6%.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September 30, 2026 increased $3,360, or 10.8%, over the prior year quarter. Rail gross profit increased $2,435, or 13.7%, and Infrastructure gross profit increased $925, or 6.9%, driven by improved volumes in both segments. Gross profit margins declined 200 basis points to 20.5% driven by unfavorable business mix in Rail.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expenses for the three months ended September 30, 2026 increased $1,652, or 7.5%, over the prior year quarter, primarily due to increased employment costs, including increased variable incentive-based compensation and medical costs. Selling and administrative expenses as a percentage of net sales decreased 190 basis points to 14.1%.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expense for the three months ended September 30, 2026 decreased $487 from the prior year quarter, reflecting lower average borrowings and debt reduction efforts. The Company's outstanding debt balance was $28,690 as of September 30, 2026, compared to $58,722 as of September 30, 2025.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months ended September 30, 2026, was 27.3%, compared to 39.4% in the prior year quarter. The current quarter income tax rate differed from the statutory rate of 21% primarily due to state income taxes and the impact of pre-tax losses in the United Kingdom for which no income tax benefit was recognized due to a valuation allowance.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the Company for the three months ended September 30, 2026 was $6,764, or $0.64 per diluted share, compared to net income in the prior year quarter of $4,354, or $0.40 per diluted share. The increase is due to improved operating income, reduced interest expense, and lower income tax expense.</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 Segment Analysis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Rail, Technologies, and Services</w:t>
      </w:r>
    </w:p>
    <w:tbl>
      <w:tblPr>
        <w:tblW w:w="9368"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826"/>
        <w:gridCol w:w="271"/>
        <w:gridCol w:w="109"/>
        <w:gridCol w:w="109"/>
        <w:gridCol w:w="109"/>
        <w:gridCol w:w="211"/>
        <w:gridCol w:w="721"/>
        <w:gridCol w:w="271"/>
        <w:gridCol w:w="109"/>
        <w:gridCol w:w="109"/>
        <w:gridCol w:w="109"/>
        <w:gridCol w:w="211"/>
        <w:gridCol w:w="721"/>
        <w:gridCol w:w="391"/>
        <w:gridCol w:w="109"/>
        <w:gridCol w:w="109"/>
        <w:gridCol w:w="109"/>
        <w:gridCol w:w="291"/>
        <w:gridCol w:w="294"/>
        <w:gridCol w:w="732"/>
      </w:tblGrid>
      <w:t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 Change</w:t>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25,133 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net sales for the three months ended September 30, 2026 increased $25,133, or 32.3 %, over the prior year quarter. Rail Products net sales increased $24,364, or 54.6%, due to higher volumes across all our Rail Products product lines. Technology Services and Solutions (“TS&amp;S”) sales also increased $2,688, or 22.7%, driven by short-term project work in the UK. These increases were partially offset by a decline in Global Friction Management of $1,919, or 9.0%, due to project timing, as certain projects were executed in the first half of the year.</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Rail gross profit for the three months ended September 30, 2026 increased $2,435, or 13.7 %, over the prior year quarter, primarily driven by higher sales within Rail Products which contributed $2,536, or 31.4%. TS&amp;S gross profit increased $901, or 56.8%, reflecting improved volumes and favorable business mix in the UK. These improvements were partially offset by a gross profit decline of $1,002, or 12.4%, in Global Friction Management due to lower volumes. Gross profit margin declined 320 basis points to 19.6 % due to unfavorable business mix.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operating income for the three months ended September 30, 2026 increased $1,995, or 33.8 %, over the prior year quarter driven by the increase in gross profit offset by increased selling and administrative expenses.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Rail new orders, net were $87,099, an increase of $739 over the prior year quarter, as strong order activity in Rail Products, which increased 55.0%, more than offset declines of 10.2% in Global Friction Management. TS&amp;S orders declined 59.7% due to a large, multi-year order received in our UK business in the prior year. Backlog as of September 30, 2026, was $126,443, a decrease of $13,790, or 9.8%, from the prior year quarter due to higher sales volumes in the quarter.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 Solutions</w:t>
      </w:r>
    </w:p>
    <w:tbl>
      <w:tblPr>
        <w:tblW w:w="9131"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721"/>
        <w:gridCol w:w="271"/>
        <w:gridCol w:w="109"/>
        <w:gridCol w:w="109"/>
        <w:gridCol w:w="109"/>
        <w:gridCol w:w="211"/>
        <w:gridCol w:w="721"/>
        <w:gridCol w:w="271"/>
        <w:gridCol w:w="109"/>
        <w:gridCol w:w="109"/>
        <w:gridCol w:w="109"/>
        <w:gridCol w:w="211"/>
        <w:gridCol w:w="616"/>
        <w:gridCol w:w="451"/>
        <w:gridCol w:w="109"/>
        <w:gridCol w:w="109"/>
        <w:gridCol w:w="109"/>
        <w:gridCol w:w="249"/>
        <w:gridCol w:w="249"/>
        <w:gridCol w:w="732"/>
      </w:tblGrid>
      <w:t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 Change</w:t>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net sales for the three months ended September 30, 2026 increased $4,577, or 7.6%, over the prior year quarter. The increase was driven by sales growth of $3,876, or 9.0%, in Precast Concrete Products (“Precast”) and $701, or 4.1%, in Steel Products.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gross profit for the three months ended September 30, 2026 increased $925, or 6.9 %, over the prior year quarter. Precast gross profit increased $673, or 7.0%, and Steel Products improved $252, or 6.8%, both due to higher volumes. Gross profit margin modestly declined 10 basis points to 21.9%.</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Infrastructure operating income for the three months ended September 30, 2026, increased $226, or 5.4%, over the prior year quarter due to improved gross profit offset in part by higher selling and administrative costs.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For the three months ended September 30, 2026, Infrastructure new orders, net were $68,660, an increase of $40,244, over the prior year quarter driven by growth of 508.2%</w:t>
      </w:r>
      <w:r>
        <w:rPr>
          <w:color w:val="000000"/>
        </w:rPr>
        <w:t xml:space="preserve"> </w:t>
      </w:r>
      <w:r>
        <w:rPr>
          <w:rFonts w:ascii="Times New Roman;serif" w:hAnsi="Times New Roman;serif"/>
          <w:b w:val="false"/>
          <w:color w:val="000000"/>
          <w:sz w:val="20"/>
        </w:rPr>
        <w:t>in Steel Products, primarily due to prior year order cancellations, and 29.5% in Precast. Backlog as of September 30, 2026, was $108,298, an increase of $1,115, or 1.0%, over the prior year quarter due to a 52.6% improvement in Steel Products which offset a decline of 11.7% in Precast.</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Corporate</w:t>
      </w:r>
    </w:p>
    <w:tbl>
      <w:tblPr>
        <w:tblW w:w="9806" w:type="dxa"/>
        <w:jc w:val="left"/>
        <w:tblInd w:w="0" w:type="dxa"/>
        <w:tblLayout w:type="fixed"/>
        <w:tblCellMar>
          <w:top w:w="28" w:type="dxa"/>
          <w:left w:w="28" w:type="dxa"/>
          <w:bottom w:w="28" w:type="dxa"/>
          <w:right w:w="28" w:type="dxa"/>
        </w:tblCellMar>
      </w:tblPr>
      <w:tblGrid>
        <w:gridCol w:w="1518"/>
        <w:gridCol w:w="1336"/>
        <w:gridCol w:w="1345"/>
        <w:gridCol w:w="109"/>
        <w:gridCol w:w="109"/>
        <w:gridCol w:w="109"/>
        <w:gridCol w:w="211"/>
        <w:gridCol w:w="616"/>
        <w:gridCol w:w="109"/>
        <w:gridCol w:w="109"/>
        <w:gridCol w:w="109"/>
        <w:gridCol w:w="109"/>
        <w:gridCol w:w="211"/>
        <w:gridCol w:w="616"/>
        <w:gridCol w:w="109"/>
        <w:gridCol w:w="109"/>
        <w:gridCol w:w="109"/>
        <w:gridCol w:w="109"/>
        <w:gridCol w:w="298"/>
        <w:gridCol w:w="658"/>
        <w:gridCol w:w="154"/>
        <w:gridCol w:w="109"/>
        <w:gridCol w:w="109"/>
        <w:gridCol w:w="109"/>
        <w:gridCol w:w="291"/>
        <w:gridCol w:w="294"/>
        <w:gridCol w:w="732"/>
      </w:tblGrid>
      <w:t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 Change</w:t>
            </w:r>
          </w:p>
        </w:tc>
      </w:tr>
      <w:t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initiatives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8" w:before="0" w:after="0"/>
        <w:jc w:val="both"/>
        <w:rPr>
          <w:rFonts w:ascii="Times New Roman;serif" w:hAnsi="Times New Roman;serif"/>
          <w:b w:val="false"/>
          <w:i/>
          <w:color w:val="000000"/>
          <w:sz w:val="14"/>
        </w:rPr>
      </w:pPr>
      <w:r>
        <w:rPr>
          <w:rFonts w:ascii="Times New Roman;serif" w:hAnsi="Times New Roman;serif"/>
          <w:b w:val="false"/>
          <w:i/>
          <w:color w:val="000000"/>
          <w:sz w:val="14"/>
        </w:rPr>
        <w:t>**Results of this calculation are not meaningful for presentation purposes.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 - net for the three months ended September 30, 2026 increased $436, or 25.0%, over the prior year quarter due primarily to a $298 increase in public company costs stemming from higher professional services fees and $131 of strategic initiative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60"/>
        <w:jc w:val="left"/>
      </w:pPr>
      <w:r>
        <w:rPr>
          <w:rFonts w:ascii="Times New Roman;serif" w:hAnsi="Times New Roman;serif"/>
          <w:b w:val="false"/>
          <w:color w:val="000000"/>
          <w:sz w:val="20"/>
          <w:u w:val="single"/>
        </w:rPr>
        <w:t>First Nine Months</w:t>
      </w:r>
      <w:r>
        <w:rPr>
          <w:color w:val="000000"/>
          <w:u w:val="single"/>
        </w:rPr>
        <w:t xml:space="preserve"> </w:t>
      </w:r>
      <w:r>
        <w:rPr>
          <w:rFonts w:ascii="Times New Roman;serif" w:hAnsi="Times New Roman;serif"/>
          <w:b w:val="false"/>
          <w:color w:val="000000"/>
          <w:sz w:val="20"/>
          <w:u w:val="single"/>
        </w:rPr>
        <w:t>2026 Compared to First Nine Months 2025</w:t>
      </w:r>
    </w:p>
    <w:p>
      <w:pPr>
        <w:pStyle w:val="TextBody"/>
        <w:bidi w:val="0"/>
        <w:spacing w:before="0" w:after="0"/>
        <w:jc w:val="both"/>
      </w:pPr>
      <w:r/>
    </w:p>
    <w:tbl>
      <w:tblPr>
        <w:tblW w:w="10025" w:type="dxa"/>
        <w:jc w:val="left"/>
        <w:tblInd w:w="0" w:type="dxa"/>
        <w:tblLayout w:type="fixed"/>
        <w:tblCellMar>
          <w:top w:w="28" w:type="dxa"/>
          <w:left w:w="28" w:type="dxa"/>
          <w:bottom w:w="28" w:type="dxa"/>
          <w:right w:w="28" w:type="dxa"/>
        </w:tblCellMar>
      </w:tblPr>
      <w:tblGrid>
        <w:gridCol w:w="1697"/>
        <w:gridCol w:w="1483"/>
        <w:gridCol w:w="1500"/>
        <w:gridCol w:w="109"/>
        <w:gridCol w:w="109"/>
        <w:gridCol w:w="109"/>
        <w:gridCol w:w="211"/>
        <w:gridCol w:w="826"/>
        <w:gridCol w:w="271"/>
        <w:gridCol w:w="109"/>
        <w:gridCol w:w="109"/>
        <w:gridCol w:w="109"/>
        <w:gridCol w:w="211"/>
        <w:gridCol w:w="826"/>
        <w:gridCol w:w="271"/>
        <w:gridCol w:w="109"/>
        <w:gridCol w:w="109"/>
        <w:gridCol w:w="109"/>
        <w:gridCol w:w="225"/>
        <w:gridCol w:w="769"/>
        <w:gridCol w:w="116"/>
        <w:gridCol w:w="109"/>
        <w:gridCol w:w="109"/>
        <w:gridCol w:w="109"/>
        <w:gridCol w:w="311"/>
      </w:tblGrid>
      <w:tr>
        <w:tc>
          <w:tcPr>
            <w:tcW w:w="169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Results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nine months ended September 30, 2026 increased $48,054, or 12.7%, over the prior year period. The increase was driven by Rail sales growth of $41,933, or 20.2%, reflecting higher demand across the segment. Infrastructure sales improved $6,121, or 3.6%, supported by growth in Precast, partially offset by lower sales in Steel Products.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for the nine months ended September 30, 2026 increased $8,879, or 10.8%, over the prior year period driven by improved volumes in Rail which increased $6,227, or 13.9%. Rail gross profit includes $2,084 of Tew Exit costs for the nine months ended September 30, 2026 and $1,085 of AMH Exit costs for the nine months ended September 30, 2025. Infrastructure gross profit increased $2,652, or 7.1%, due to favorable business mix and manufacturing efficiencies. Gross profit margins declined 30 basis points to 21.3%.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for the nine months ended September 30, 2026 increased $5,456, or 8.3%, over the prior year period, primarily due to higher employment costs, including increased variable incentive-based compensation and medical costs. Selling and administrative expenses for the nine months ended September 30, 2026 includes $609 of Tew Exit and other strategic initiative costs and for the nine months ended September 30, 2025 includes $266 of AMH Exit costs. Selling and administrative expenses as a percentage of net sales decreased 60 basis points to 16.6%.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nine months ended September 30, 2026 decreased $803, or 30.2%, from the prior year period due to acquired intangible assets becoming fully amortized.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expense for the nine months ended September 30, 2026 decreased $1,378 from the prior year period, reflecting lower average borrowings resulting from continued debt reduction efforts. The Company's outstanding debt balance was $28,690 as of September 30, 2026, compared to $58,722 as of September 30,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nine months ended September 30, 2026 was 29.7%, compared to 52.7% in the prior year period. The current period effective income tax rate differed from the statutory rate of 21% primarily due to state income taxes, the impact of pre-tax losses in the United Kingdom for which no income tax benefit was recognized due to a valuation allowance, and the impact of excess tax benefits related to share-based compensation.</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Company for the nine months ended September 30, 2026 was $11,376, or $1.07 per diluted share, compared to net income in the prior year period of $5,129, or $0.47 per diluted share. The improvement was primarily driven by higher gross profit, lower interest expense, and reduced amortization expense, partially offset by higher selling and administrative expenses. </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 Segment Analysis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Rail, Technologies, and Services</w:t>
      </w:r>
    </w:p>
    <w:tbl>
      <w:tblPr>
        <w:tblW w:w="9204" w:type="dxa"/>
        <w:jc w:val="left"/>
        <w:tblInd w:w="0" w:type="dxa"/>
        <w:tblLayout w:type="fixed"/>
        <w:tblCellMar>
          <w:top w:w="28" w:type="dxa"/>
          <w:left w:w="28" w:type="dxa"/>
          <w:bottom w:w="28" w:type="dxa"/>
          <w:right w:w="28" w:type="dxa"/>
        </w:tblCellMar>
      </w:tblPr>
      <w:tblGrid>
        <w:gridCol w:w="1001"/>
        <w:gridCol w:w="874"/>
        <w:gridCol w:w="884"/>
        <w:gridCol w:w="109"/>
        <w:gridCol w:w="109"/>
        <w:gridCol w:w="109"/>
        <w:gridCol w:w="211"/>
        <w:gridCol w:w="826"/>
        <w:gridCol w:w="271"/>
        <w:gridCol w:w="109"/>
        <w:gridCol w:w="109"/>
        <w:gridCol w:w="109"/>
        <w:gridCol w:w="211"/>
        <w:gridCol w:w="826"/>
        <w:gridCol w:w="271"/>
        <w:gridCol w:w="109"/>
        <w:gridCol w:w="109"/>
        <w:gridCol w:w="109"/>
        <w:gridCol w:w="211"/>
        <w:gridCol w:w="721"/>
        <w:gridCol w:w="391"/>
        <w:gridCol w:w="109"/>
        <w:gridCol w:w="109"/>
        <w:gridCol w:w="109"/>
        <w:gridCol w:w="255"/>
        <w:gridCol w:w="256"/>
        <w:gridCol w:w="687"/>
      </w:tblGrid>
      <w:tr>
        <w:tc>
          <w:tcPr>
            <w:tcW w:w="100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Rail net sales for the nine months ended September 30, 2026 increased $41,933, or 20.2 %, over the prior year period. The increase was primarily driven by Rail Products with sales growth of $23,323, or 19.2%. Global Friction Management and TS&amp;S increased $7,928, or 13.8%, and $10,682, or 36.9%, respectively. </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Rail gross profit for the nine months ended September 30, 2026 increased $6,227, or 13.9%, over the prior year period. The improvement was primarily attributable to higher volumes in Rail Products and Global Friction Management, which contributed $2,106, or 10.5%, and $2,244, or 9.9%, respectively, of gross profit improvement. TS&amp;S gross profit increased $1,877, or 82.3%, due to improved volumes and favorable business mix in the UK. Additionally, TS&amp;S incurred $2,084 of costs associated with the Tew Exit in the nine months ended September 30, 2026, compared to $1,085 of costs related to the AMH Exit incurred in the prior year period. Gross profit margins declined 110 basis points to 20.5%, reflecting unfavorable business mix.</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operating income for the nine months ended September 30, 2026 increased $5,913, or 60.4%, over the prior year period. The increase was driven by an increase in gross profit and lower amortization expense.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Rail new orders, net were $279,937, a decrease of $4,019 from the prior year period. The decline was primarily attributable to TS&amp;S which decreased 16.8%, driven by a large, multi-year order received in the prior year period.</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 Solutions</w:t>
      </w:r>
    </w:p>
    <w:tbl>
      <w:tblPr>
        <w:tblW w:w="9206"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826"/>
        <w:gridCol w:w="271"/>
        <w:gridCol w:w="109"/>
        <w:gridCol w:w="109"/>
        <w:gridCol w:w="109"/>
        <w:gridCol w:w="211"/>
        <w:gridCol w:w="826"/>
        <w:gridCol w:w="271"/>
        <w:gridCol w:w="109"/>
        <w:gridCol w:w="109"/>
        <w:gridCol w:w="109"/>
        <w:gridCol w:w="211"/>
        <w:gridCol w:w="616"/>
        <w:gridCol w:w="391"/>
        <w:gridCol w:w="109"/>
        <w:gridCol w:w="109"/>
        <w:gridCol w:w="109"/>
        <w:gridCol w:w="234"/>
        <w:gridCol w:w="234"/>
        <w:gridCol w:w="687"/>
      </w:tblGrid>
      <w:t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net sales for the nine months ended September 30, 2026 increased $6,121, or 3.6 %, over the prior year period. The improvement was driven by Precast sales growth of $9,666, or 8.2%, offset in part by Steel Products which declined $3,545, or 6.5%.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gross profit for the nine months ended September 30, 2026 increased $2,652, or 7.1%, over the prior year period. The increase was primarily driven by higher volumes, favorable business mix, and manufacturing efficiencies within Precast, which contributed a $3,279, or 13.2%, increase in gross profit. Partially offsetting this improvement was a $627, or 5.1%, decline in Steel Products gross profit due to lower volumes. Gross profit margins increased 70 basis points to 22.4 %.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operating income for the nine months ended September 30, 2026 was favorable $1,004, or 9.6%, compared to the prior year period due to improvements in gross profit, offset in part by higher selling and administrative expenses.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Infrastructure new orders, net were $193,986, an increase of $38,347, over the prior year period. The increase was primarily driven by a 103.4% increase in Steel Products, which benefited from an order cancellation in the prior year period, as well as a 4.1% increase in Precast. </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Corporate</w:t>
      </w:r>
    </w:p>
    <w:p>
      <w:pPr>
        <w:pStyle w:val="TextBody"/>
        <w:bidi w:val="0"/>
        <w:spacing w:before="0" w:after="0"/>
        <w:jc w:val="both"/>
      </w:pPr>
      <w:r/>
    </w:p>
    <w:tbl>
      <w:tblPr>
        <w:tblW w:w="9792" w:type="dxa"/>
        <w:jc w:val="left"/>
        <w:tblInd w:w="0" w:type="dxa"/>
        <w:tblLayout w:type="fixed"/>
        <w:tblCellMar>
          <w:top w:w="28" w:type="dxa"/>
          <w:left w:w="28" w:type="dxa"/>
          <w:bottom w:w="28" w:type="dxa"/>
          <w:right w:w="28" w:type="dxa"/>
        </w:tblCellMar>
      </w:tblPr>
      <w:tblGrid>
        <w:gridCol w:w="1518"/>
        <w:gridCol w:w="1336"/>
        <w:gridCol w:w="1345"/>
        <w:gridCol w:w="109"/>
        <w:gridCol w:w="109"/>
        <w:gridCol w:w="109"/>
        <w:gridCol w:w="211"/>
        <w:gridCol w:w="616"/>
        <w:gridCol w:w="109"/>
        <w:gridCol w:w="109"/>
        <w:gridCol w:w="109"/>
        <w:gridCol w:w="109"/>
        <w:gridCol w:w="211"/>
        <w:gridCol w:w="616"/>
        <w:gridCol w:w="109"/>
        <w:gridCol w:w="109"/>
        <w:gridCol w:w="109"/>
        <w:gridCol w:w="109"/>
        <w:gridCol w:w="250"/>
        <w:gridCol w:w="731"/>
        <w:gridCol w:w="129"/>
        <w:gridCol w:w="109"/>
        <w:gridCol w:w="109"/>
        <w:gridCol w:w="109"/>
        <w:gridCol w:w="342"/>
        <w:gridCol w:w="274"/>
        <w:gridCol w:w="687"/>
      </w:tblGrid>
      <w:t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initiatives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6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8" w:before="0" w:after="0"/>
        <w:jc w:val="both"/>
        <w:rPr>
          <w:rFonts w:ascii="Times New Roman;serif" w:hAnsi="Times New Roman;serif"/>
          <w:b w:val="false"/>
          <w:i/>
          <w:color w:val="000000"/>
          <w:sz w:val="14"/>
        </w:rPr>
      </w:pPr>
      <w:r>
        <w:rPr>
          <w:rFonts w:ascii="Times New Roman;serif" w:hAnsi="Times New Roman;serif"/>
          <w:b w:val="false"/>
          <w:i/>
          <w:color w:val="000000"/>
          <w:sz w:val="14"/>
        </w:rPr>
        <w:t>**Results of this calculation are not meaningful for presentation purposes.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 - net for the nine months ended September 30, 2026 increased $2,691, or 43.4%, over the prior year period. The increase was primarily attributable to higher corporate executive management costs of $1,218 and increased corporate management stock-based compensation expense of $1,344. Additionally, the Company incurred $423 of costs related to strategic initiatives during the current period.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its existing cash and cash equivalents, cash generated by operations, and the available capacity under the revolving credit facility. The revolving credit facility provides for a total commitment of up to $150,000, of which $121,099 was available for borrowing as of September 30, 2026,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$28,690 and $42,756 as of September 30, 2026 and December 31, 2025, respectively, and was primarily comprised of borrowings under its revolving credit facility.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available funding capacity as of September 30, 2026:</w:t>
      </w:r>
    </w:p>
    <w:tbl>
      <w:tblPr>
        <w:tblW w:w="8705" w:type="dxa"/>
        <w:jc w:val="left"/>
        <w:tblInd w:w="0" w:type="dxa"/>
        <w:tblLayout w:type="fixed"/>
        <w:tblCellMar>
          <w:top w:w="28" w:type="dxa"/>
          <w:left w:w="28" w:type="dxa"/>
          <w:bottom w:w="28" w:type="dxa"/>
          <w:right w:w="28" w:type="dxa"/>
        </w:tblCellMar>
      </w:tblPr>
      <w:tblGrid>
        <w:gridCol w:w="2146"/>
        <w:gridCol w:w="1884"/>
        <w:gridCol w:w="1895"/>
        <w:gridCol w:w="109"/>
        <w:gridCol w:w="109"/>
        <w:gridCol w:w="109"/>
        <w:gridCol w:w="413"/>
        <w:gridCol w:w="413"/>
        <w:gridCol w:w="109"/>
        <w:gridCol w:w="109"/>
        <w:gridCol w:w="109"/>
        <w:gridCol w:w="109"/>
        <w:gridCol w:w="211"/>
        <w:gridCol w:w="826"/>
        <w:gridCol w:w="154"/>
      </w:tblGrid>
      <w:tr>
        <w:tc>
          <w:tcPr>
            <w:tcW w:w="2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2026</w:t>
            </w:r>
          </w:p>
        </w:tc>
      </w:tr>
      <w:t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availability under the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borrowings on revolving credit facility and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availability under the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funding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were in compliance with all covenants of the Credit Agreement and had $128,347 available funding capacity, subject to covenant restrictions.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September 30, 2026,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cash and cash equivalents for the nine months ended September 30, 2026 and 2025 were as follows:</w:t>
      </w:r>
    </w:p>
    <w:p>
      <w:pPr>
        <w:pStyle w:val="TextBody"/>
        <w:bidi w:val="0"/>
        <w:spacing w:before="0" w:after="0"/>
        <w:jc w:val="both"/>
      </w:pPr>
      <w:r/>
    </w:p>
    <w:tbl>
      <w:tblPr>
        <w:tblW w:w="8003" w:type="dxa"/>
        <w:jc w:val="left"/>
        <w:tblInd w:w="0" w:type="dxa"/>
        <w:tblLayout w:type="fixed"/>
        <w:tblCellMar>
          <w:top w:w="28" w:type="dxa"/>
          <w:left w:w="28" w:type="dxa"/>
          <w:bottom w:w="28" w:type="dxa"/>
          <w:right w:w="28" w:type="dxa"/>
        </w:tblCellMar>
      </w:tblPr>
      <w:tblGrid>
        <w:gridCol w:w="1840"/>
        <w:gridCol w:w="1620"/>
        <w:gridCol w:w="1624"/>
        <w:gridCol w:w="109"/>
        <w:gridCol w:w="109"/>
        <w:gridCol w:w="109"/>
        <w:gridCol w:w="223"/>
        <w:gridCol w:w="762"/>
        <w:gridCol w:w="115"/>
        <w:gridCol w:w="115"/>
        <w:gridCol w:w="115"/>
        <w:gridCol w:w="115"/>
        <w:gridCol w:w="223"/>
        <w:gridCol w:w="762"/>
        <w:gridCol w:w="162"/>
      </w:tblGrid>
      <w:t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w:t>
            </w:r>
          </w:p>
        </w:tc>
      </w:tr>
      <w:t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net cash provided by operating activities was $30,975, compared to net cash provided by operating activities of $13,447 during the prior year period. For the nine months ended September 30, 2026, net income and adjustments to reconcile net income from operating activities provided $29,313, compared to $23,380 in the prior year period. Working capital and other assets and liabilities provided $1,662 in the current period, compared to a use of $9,933 in the prior year period. The increase in operating cash flow for the nine months ended September 30, 2026 compared to the prior year period was largely driven by lower working capital needs and improved profitability. </w:t>
      </w:r>
    </w:p>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nine months ended September 30, 2026 and 2025 were $9,244 and $8,057, respectively. Capital expenditures in both periods primarily relate to general plant and operational improvements throughout the Company, as well as organic growth initiatives. </w:t>
      </w:r>
    </w:p>
    <w:p>
      <w:pPr>
        <w:pStyle w:val="TextBody"/>
        <w:bidi w:val="0"/>
        <w:spacing w:before="0" w:after="0"/>
        <w:jc w:val="both"/>
      </w:p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outstanding debt decreased $14,058 compared with an increase of $9,963 during the nine months ended September 30, 2025. The decrease in borrowings from the prior year period was primarily driven by operating cash generation from lower working capital requirements and a reduction in treasury stock repurchases. During the nine months ended September 30, 2026, the Company repurchased $4,263 of its stock to satisfy employee tax withholding obligations related to the issuance of equity-based compensation awards. The Company also made deferred acquisition-related payments of $403 and $782, during the nine months ended September 30, 2026 and 2025, respectively, related to the June 2022 acquisition of Skratch Enterprises Ltd. These payments were deferred at the date of the acquisition in accordance with the purchase agreement. Additionally, during the nine months ended September 30, 2025, the Company incurred debt issuance costs of $706 associated with entering into the June 27, 2025 Fifth Amended and Restated Credit Agreement.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approved a new authorization to repurchase up to $40,000 of the Company's common stock in open market transactions and/or 10b5-1 trading plans through February 29, 2028. The Company did not repurchase any shares during the nine months ended September 30, 2026 under this program. From February 2023 through September 30, 2026, the Company repurchased a total of 1,016,899 shares of its stock for $23,554 under both programs.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$7,248 in cash and cash equivalents and $121,099 of availability under its revolving credit facility, subject to covenant restrictions. As of September 30, 2026, approximately $6,339 of the Company’s cash and cash equivalents were held in non-domestic bank accounts.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uses of cash in recent years have been to fund its operations, including capital expenditures, repurchase of shares, acquisitions, and service indebtedness. The Company views its short and long-term liquidity as being dependent on its results of operations, changes in working capital needs, and its borrowing capacity.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which expires on June 27, 2030,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please refer to Note 7 of the Notes to Condensed Consolidated Financial Statements contained in this Quarterly Report on Form 10-Q.</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2025.</w:t>
      </w:r>
    </w:p>
    <w:p>
      <w:pPr>
        <w:pStyle w:val="TextBody"/>
        <w:bidi w:val="0"/>
        <w:spacing w:before="0" w:after="0"/>
        <w:jc w:val="both"/>
      </w:p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methods and in the items or events being adjusted. </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a substitute for GAAP financial results and should only be considered in conjunction with the Company’s financial information that is presented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pPr>
      <w:r>
        <w:rPr>
          <w:rFonts w:ascii="Times New Roman;serif" w:hAnsi="Times New Roman;serif"/>
          <w:b/>
          <w:color w:val="000000"/>
          <w:sz w:val="20"/>
        </w:rPr>
        <w:t xml:space="preserve">Item 3. </w:t>
      </w:r>
      <w:r>
        <w:rPr>
          <w:rFonts w:ascii="Times New Roman;serif" w:hAnsi="Times New Roman;serif"/>
          <w:b/>
          <w:color w:val="000000"/>
          <w:sz w:val="20"/>
          <w:u w:val="single"/>
        </w:rPr>
        <w:t>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180" w:after="60"/>
        <w:jc w:val="both"/>
      </w:pPr>
      <w:r>
        <w:rPr>
          <w:rFonts w:ascii="Times New Roman;serif" w:hAnsi="Times New Roman;serif"/>
          <w:b/>
          <w:color w:val="000000"/>
          <w:sz w:val="20"/>
        </w:rPr>
        <w:t xml:space="preserve">Item 4. </w:t>
      </w:r>
      <w:r>
        <w:rPr>
          <w:rFonts w:ascii="Times New Roman;serif" w:hAnsi="Times New Roman;serif"/>
          <w:b/>
          <w:color w:val="000000"/>
          <w:sz w:val="20"/>
          <w:u w:val="single"/>
        </w:rPr>
        <w:t>Controls and Procedures</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September 30, 2026,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pStyle w:val="TextBody"/>
        <w:bidi w:val="0"/>
        <w:spacing w:before="0" w:after="0"/>
        <w:jc w:val="both"/>
      </w:p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such term is defined in Rules 13a-15(f) and 15d-15(f) under the Exchange Act) that occurred during the quarter ended September 30, 2026.</w:t>
      </w:r>
    </w:p>
    <w:p>
      <w:pPr>
        <w:pStyle w:val="TextBody"/>
        <w:bidi w:val="0"/>
        <w:spacing w:before="0" w:after="0"/>
        <w:jc w:val="both"/>
      </w:p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60"/>
        <w:jc w:val="both"/>
      </w:pPr>
      <w:r>
        <w:rPr>
          <w:rFonts w:ascii="Times New Roman;serif" w:hAnsi="Times New Roman;serif"/>
          <w:b/>
          <w:color w:val="000000"/>
          <w:sz w:val="20"/>
        </w:rPr>
        <w:t xml:space="preserve">PART II. </w:t>
      </w:r>
      <w:r>
        <w:rPr>
          <w:rFonts w:ascii="Times New Roman;serif" w:hAnsi="Times New Roman;serif"/>
          <w:b/>
          <w:color w:val="000000"/>
          <w:sz w:val="20"/>
          <w:u w:val="single"/>
        </w:rPr>
        <w:t>OTHER INFORMATION</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(Dollars 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pPr>
      <w:r>
        <w:rPr>
          <w:rFonts w:ascii="Times New Roman;serif" w:hAnsi="Times New Roman;serif"/>
          <w:b/>
          <w:color w:val="000000"/>
          <w:sz w:val="20"/>
        </w:rPr>
        <w:t xml:space="preserve">Item 1. </w:t>
      </w:r>
      <w:r>
        <w:rPr>
          <w:rFonts w:ascii="Times New Roman;serif" w:hAnsi="Times New Roman;serif"/>
          <w:b/>
          <w:color w:val="000000"/>
          <w:sz w:val="20"/>
          <w:u w:val="single"/>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Condensed Consolidated Financial Statements included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pPr>
      <w:r>
        <w:rPr>
          <w:rFonts w:ascii="Times New Roman;serif" w:hAnsi="Times New Roman;serif"/>
          <w:b/>
          <w:color w:val="000000"/>
          <w:sz w:val="20"/>
        </w:rPr>
        <w:t xml:space="preserve">Item 1A. </w:t>
      </w:r>
      <w:r>
        <w:rPr>
          <w:rFonts w:ascii="Times New Roman;serif" w:hAnsi="Times New Roman;serif"/>
          <w:b/>
          <w:color w:val="000000"/>
          <w:sz w:val="20"/>
          <w:u w:val="single"/>
        </w:rPr>
        <w:t>Risk Factors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pPr>
      <w:r>
        <w:rPr>
          <w:rFonts w:ascii="Times New Roman;serif" w:hAnsi="Times New Roman;serif"/>
          <w:b/>
          <w:color w:val="000000"/>
          <w:sz w:val="20"/>
        </w:rPr>
        <w:t xml:space="preserve">Item 2. </w:t>
      </w:r>
      <w:r>
        <w:rPr>
          <w:rFonts w:ascii="Times New Roman;serif" w:hAnsi="Times New Roman;serif"/>
          <w:b/>
          <w:color w:val="000000"/>
          <w:sz w:val="20"/>
          <w:u w:val="single"/>
        </w:rPr>
        <w:t>Unregistered Sales of Equity Securities and Use of Proceeds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purchases of equity securities for the three months ended September 30, 2026 were as follows:</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856"/>
        <w:gridCol w:w="423"/>
        <w:gridCol w:w="428"/>
        <w:gridCol w:w="109"/>
        <w:gridCol w:w="109"/>
        <w:gridCol w:w="109"/>
        <w:gridCol w:w="440"/>
        <w:gridCol w:w="440"/>
        <w:gridCol w:w="441"/>
        <w:gridCol w:w="109"/>
        <w:gridCol w:w="109"/>
        <w:gridCol w:w="109"/>
        <w:gridCol w:w="318"/>
        <w:gridCol w:w="613"/>
        <w:gridCol w:w="164"/>
        <w:gridCol w:w="109"/>
        <w:gridCol w:w="109"/>
        <w:gridCol w:w="109"/>
        <w:gridCol w:w="741"/>
        <w:gridCol w:w="741"/>
        <w:gridCol w:w="743"/>
        <w:gridCol w:w="109"/>
        <w:gridCol w:w="109"/>
        <w:gridCol w:w="109"/>
        <w:gridCol w:w="493"/>
        <w:gridCol w:w="1687"/>
        <w:gridCol w:w="369"/>
      </w:tblGrid>
      <w:tr>
        <w:tc>
          <w:tcPr>
            <w:tcW w:w="85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Approximate dollar value of shares that may yet be purchased under the plans or programs</w:t>
            </w:r>
          </w:p>
        </w:tc>
      </w:tr>
      <w:t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During the current period, 0 shares were withheld by the Company to pay taxes upon vesting of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 xml:space="preserve">Item 3. </w:t>
      </w:r>
      <w:r>
        <w:rPr>
          <w:rFonts w:ascii="Times New Roman;serif" w:hAnsi="Times New Roman;serif"/>
          <w:b/>
          <w:color w:val="000000"/>
          <w:sz w:val="20"/>
          <w:u w:val="single"/>
        </w:rPr>
        <w:t>Defaults Upon Senior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pPr>
      <w:r>
        <w:rPr>
          <w:rFonts w:ascii="Times New Roman;serif" w:hAnsi="Times New Roman;serif"/>
          <w:b/>
          <w:color w:val="000000"/>
          <w:sz w:val="20"/>
        </w:rPr>
        <w:t xml:space="preserve">Item 4. </w:t>
      </w:r>
      <w:r>
        <w:rPr>
          <w:rFonts w:ascii="Times New Roman;serif" w:hAnsi="Times New Roman;serif"/>
          <w:b/>
          <w:color w:val="000000"/>
          <w:sz w:val="20"/>
          <w:u w:val="single"/>
        </w:rPr>
        <w:t>Mine Safety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 xml:space="preserve">Item 5. </w:t>
      </w:r>
      <w:r>
        <w:rPr>
          <w:rFonts w:ascii="Times New Roman;serif" w:hAnsi="Times New Roman;serif"/>
          <w:b/>
          <w:color w:val="000000"/>
          <w:sz w:val="20"/>
          <w:u w:val="single"/>
        </w:rPr>
        <w:t>Other Information</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68" w:before="0" w:after="0"/>
        <w:jc w:val="left"/>
      </w:pPr>
      <w:r>
        <w:rPr>
          <w:rFonts w:ascii="Times New Roman;serif" w:hAnsi="Times New Roman;serif"/>
          <w:b w:val="false"/>
          <w:color w:val="000000"/>
          <w:sz w:val="20"/>
        </w:rPr>
        <w:t>During the fiscal quarter ended September 30, 2026, none of the Company’s directors or “officers,” as defined in Rule 16a-1(f) of the Securities Exchange Act of 1934, as amended, adopted, modified, or terminated a “Rule 10b5-1 trading arrangement” or a “non-Rule 10b5-1 trading arrangement” intended to satisfy the affirmative defense of Rule 10b5-1(c) pursuant to Item 408 of Regulation S-K, except as described below:</w:t>
      </w:r>
      <w:r>
        <w:rPr>
          <w:color w:val="000000"/>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12, 2026, John Kasel, President and Chief Executive Officer, adopted a Rule 10b5-1 trading plan providing for the sale of up to 113,284 shares of the Company's common stock in amounts and prices to be determined in accordance with the trading plan's terms. The arrangement is scheduled to terminate on June 30, 2027.</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2026, Patrick Guinee, Executive Vice President, General Counsel and Secretary, adopted a Rule 10b5-1 trading plan providing for the sale of up to 15,175 shares of the Company's common stock in amounts and prices to be determined in accordance with the trading plan's terms. The arrangement is scheduled to terminate on April 30, 2027.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2026, Greg Lippard, Senior Vice President - Rail, Technologies, and Services, adopted a Rule 10b5-1 trading plan providing for the sale of up to 45,292 shares of the Company's common stock in amounts and prices to be determined in accordance with the trading plan's terms. The arrangement is scheduled to terminate on March 31,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left"/>
      </w:pPr>
      <w:r>
        <w:rPr>
          <w:rFonts w:ascii="Times New Roman;serif" w:hAnsi="Times New Roman;serif"/>
          <w:b/>
          <w:color w:val="000000"/>
          <w:sz w:val="20"/>
        </w:rPr>
        <w:t xml:space="preserve">Item 6. </w:t>
      </w:r>
      <w:r>
        <w:rPr>
          <w:rFonts w:ascii="Times New Roman;serif" w:hAnsi="Times New Roman;serif"/>
          <w:b/>
          <w:color w:val="000000"/>
          <w:sz w:val="20"/>
          <w:u w:val="single"/>
        </w:rPr>
        <w:t>Exhibits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Exhibit Index below.</w:t>
      </w:r>
    </w:p>
    <w:p>
      <w:pPr>
        <w:pStyle w:val="TextBody"/>
        <w:bidi w:val="0"/>
        <w:spacing w:before="0" w:after="0"/>
        <w:jc w:val="both"/>
      </w:p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462"/>
        <w:gridCol w:w="406"/>
        <w:gridCol w:w="408"/>
        <w:gridCol w:w="109"/>
        <w:gridCol w:w="109"/>
        <w:gridCol w:w="109"/>
        <w:gridCol w:w="2508"/>
        <w:gridCol w:w="2508"/>
        <w:gridCol w:w="3586"/>
      </w:tblGrid>
      <w:t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1q32026.htm">
              <w:r>
                <w:rPr>
                  <w:rStyle w:val="InternetLink"/>
                  <w:rFonts w:ascii="Times New Roman;serif" w:hAnsi="Times New Roman;serif"/>
                  <w:b w:val="false"/>
                  <w:color w:val="0000FF"/>
                  <w:sz w:val="20"/>
                  <w:u w:val="single"/>
                </w:rPr>
                <w:t>Certification of Chief Executive Officer under Section 302 of the Sarbanes-Oxley Act of 2002.</w:t>
              </w:r>
            </w:hyperlink>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2q32026.htm">
              <w:r>
                <w:rPr>
                  <w:rStyle w:val="InternetLink"/>
                  <w:rFonts w:ascii="Times New Roman;serif" w:hAnsi="Times New Roman;serif"/>
                  <w:b w:val="false"/>
                  <w:color w:val="0000FF"/>
                  <w:sz w:val="20"/>
                  <w:u w:val="single"/>
                </w:rPr>
                <w:t>Certification of Chief Financial Officer under Section 302 of the Sarbanes-Oxley Act of 2002.</w:t>
              </w:r>
            </w:hyperlink>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20q32026.htm">
              <w:r>
                <w:rPr>
                  <w:rStyle w:val="InternetLink"/>
                  <w:rFonts w:ascii="Times New Roman;serif" w:hAnsi="Times New Roman;serif"/>
                  <w:b w:val="false"/>
                  <w:color w:val="0000FF"/>
                  <w:sz w:val="20"/>
                  <w:u w:val="single"/>
                </w:rPr>
                <w:t>Certification of Chief Executive Officer and Chief Financial Officer under Section 906 of the Sarbanes-Oxley Act of 2002.</w:t>
              </w:r>
            </w:hyperlink>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Document-the instance document does not appear in the Interactive Data File because its XBRL tags are embedded within the Inline XBRL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both"/>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124"/>
        <w:gridCol w:w="109"/>
        <w:gridCol w:w="109"/>
        <w:gridCol w:w="1257"/>
        <w:gridCol w:w="1257"/>
        <w:gridCol w:w="177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Exhibits marked with an asterisk are filed herewith.</w:t>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pPr>
      <w:hyperlink w:anchor="i880c408e95e94a62833fe0311b07680b_7">
        <w:r>
          <w:rPr>
            <w:rStyle w:val="InternetLink"/>
          </w:rPr>
          <w:t xml:space="preserve">Table of </w:t>
        </w:r>
      </w:hyperlink>
      <w:hyperlink w:anchor="i880c408e95e94a62833fe0311b07680b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860" w:type="dxa"/>
        <w:jc w:val="left"/>
        <w:tblInd w:w="0" w:type="dxa"/>
        <w:tblLayout w:type="fixed"/>
        <w:tblCellMar>
          <w:top w:w="28" w:type="dxa"/>
          <w:left w:w="28" w:type="dxa"/>
          <w:bottom w:w="28" w:type="dxa"/>
          <w:right w:w="28" w:type="dxa"/>
        </w:tblCellMar>
      </w:tblPr>
      <w:tblGrid>
        <w:gridCol w:w="200"/>
        <w:gridCol w:w="177"/>
        <w:gridCol w:w="178"/>
        <w:gridCol w:w="549"/>
        <w:gridCol w:w="549"/>
        <w:gridCol w:w="551"/>
        <w:gridCol w:w="109"/>
        <w:gridCol w:w="109"/>
        <w:gridCol w:w="109"/>
        <w:gridCol w:w="973"/>
        <w:gridCol w:w="973"/>
        <w:gridCol w:w="1383"/>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 FOSTER COMPANY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/s/ 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of Registrant)</w:t>
            </w:r>
          </w:p>
        </w:tc>
      </w:tr>
    </w:tbl>
    <w:p>
      <w:pPr>
        <w:pStyle w:val="TextBody"/>
        <w:bidi w:val="0"/>
        <w:jc w:val="both"/>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3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under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F. Kasel,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L.B. Foster Company;</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6235" w:type="dxa"/>
        <w:jc w:val="left"/>
        <w:tblInd w:w="0" w:type="dxa"/>
        <w:tblLayout w:type="fixed"/>
        <w:tblCellMar>
          <w:top w:w="28" w:type="dxa"/>
          <w:left w:w="28" w:type="dxa"/>
          <w:bottom w:w="28" w:type="dxa"/>
          <w:right w:w="28" w:type="dxa"/>
        </w:tblCellMar>
      </w:tblPr>
      <w:tblGrid>
        <w:gridCol w:w="200"/>
        <w:gridCol w:w="177"/>
        <w:gridCol w:w="178"/>
        <w:gridCol w:w="549"/>
        <w:gridCol w:w="549"/>
        <w:gridCol w:w="551"/>
        <w:gridCol w:w="109"/>
        <w:gridCol w:w="109"/>
        <w:gridCol w:w="109"/>
        <w:gridCol w:w="1080"/>
        <w:gridCol w:w="1080"/>
        <w:gridCol w:w="154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John F. Kasel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F. Kasel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under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Sean M. Reilly,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L.B. Foster Company;</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15" w:type="dxa"/>
        <w:jc w:val="left"/>
        <w:tblInd w:w="0" w:type="dxa"/>
        <w:tblLayout w:type="fixed"/>
        <w:tblCellMar>
          <w:top w:w="28" w:type="dxa"/>
          <w:left w:w="28" w:type="dxa"/>
          <w:bottom w:w="28" w:type="dxa"/>
          <w:right w:w="28" w:type="dxa"/>
        </w:tblCellMar>
      </w:tblPr>
      <w:tblGrid>
        <w:gridCol w:w="200"/>
        <w:gridCol w:w="177"/>
        <w:gridCol w:w="178"/>
        <w:gridCol w:w="549"/>
        <w:gridCol w:w="549"/>
        <w:gridCol w:w="551"/>
        <w:gridCol w:w="109"/>
        <w:gridCol w:w="109"/>
        <w:gridCol w:w="109"/>
        <w:gridCol w:w="696"/>
        <w:gridCol w:w="696"/>
        <w:gridCol w:w="992"/>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32.0</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CERTIFICATE PURSUANT TO 18 U.S.C. SECTION 1350, AS ADOPTED PURSUANT TO 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L.B. Foster Company (the “Company”) on Form 10-Q for the period ended September 30, 2026, as filed with the Securities and Exchange Commission on the date hereof (the “Report”), the undersigned certify pursuant to Section 906 of the Sarbanes-Oxley Act of 2002 that: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this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6235" w:type="dxa"/>
        <w:jc w:val="left"/>
        <w:tblInd w:w="0" w:type="dxa"/>
        <w:tblLayout w:type="fixed"/>
        <w:tblCellMar>
          <w:top w:w="28" w:type="dxa"/>
          <w:left w:w="28" w:type="dxa"/>
          <w:bottom w:w="28" w:type="dxa"/>
          <w:right w:w="28" w:type="dxa"/>
        </w:tblCellMar>
      </w:tblPr>
      <w:tblGrid>
        <w:gridCol w:w="200"/>
        <w:gridCol w:w="177"/>
        <w:gridCol w:w="178"/>
        <w:gridCol w:w="549"/>
        <w:gridCol w:w="549"/>
        <w:gridCol w:w="551"/>
        <w:gridCol w:w="109"/>
        <w:gridCol w:w="109"/>
        <w:gridCol w:w="109"/>
        <w:gridCol w:w="1080"/>
        <w:gridCol w:w="1080"/>
        <w:gridCol w:w="154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John F. Kasel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F. Kasel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0"/>
        <w:jc w:val="left"/>
        <w:rPr>
          <w:color w:val="000000"/>
        </w:rPr>
      </w:pPr>
      <w:r>
        <w:rPr>
          <w:color w:val="000000"/>
        </w:rPr>
        <w:t> </w:t>
      </w:r>
    </w:p>
    <w:tbl>
      <w:tblPr>
        <w:tblW w:w="4915" w:type="dxa"/>
        <w:jc w:val="left"/>
        <w:tblInd w:w="0" w:type="dxa"/>
        <w:tblLayout w:type="fixed"/>
        <w:tblCellMar>
          <w:top w:w="28" w:type="dxa"/>
          <w:left w:w="28" w:type="dxa"/>
          <w:bottom w:w="28" w:type="dxa"/>
          <w:right w:w="28" w:type="dxa"/>
        </w:tblCellMar>
      </w:tblPr>
      <w:tblGrid>
        <w:gridCol w:w="200"/>
        <w:gridCol w:w="177"/>
        <w:gridCol w:w="178"/>
        <w:gridCol w:w="549"/>
        <w:gridCol w:w="549"/>
        <w:gridCol w:w="551"/>
        <w:gridCol w:w="109"/>
        <w:gridCol w:w="109"/>
        <w:gridCol w:w="109"/>
        <w:gridCol w:w="696"/>
        <w:gridCol w:w="696"/>
        <w:gridCol w:w="992"/>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M. Reilly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16887</Words>
  <Characters>94172</Characters>
  <CharactersWithSpaces>109602</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