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6576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657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4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4"/>
                </w:rPr>
                <w:t>KASEL JOHN F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45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FOSTER L B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FSTR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L.B. FOSTER COMPANY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05/22/2026</w:t>
            </w: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415 HOLIDAY DRIVE, SUITE 100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7" w:right="1080" w:hanging="7"/>
        <w:spacing w:after="0" w:line="281" w:lineRule="auto"/>
        <w:tabs>
          <w:tab w:leader="none" w:pos="122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52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7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President &amp; Chief Exec Officer</w:t>
      </w:r>
    </w:p>
    <w:p>
      <w:pPr>
        <w:spacing w:after="0" w:line="46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53"/>
            <w:col w:w="3267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3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PITTSBURGH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15220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3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05/22/2026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4,102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38.11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239,663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L.B. Foster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13,908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2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401(k) 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withheld to pay taxes applicable to the vesting of restricted stock related to the 2025-2027 LTIP awarded on 5/22/25.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20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Includes 19,316 Performance Restricted Stock Units earned under the 2024-2026 Long Term Incentive Plan granted on 5/23/2024; those 19,316 Performance Restricted Stock Units will settle at the end of the performance period on December 31, 2026, upon certification of the Compensation Committee.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30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Includes 4,754 Performance Restricted Stock Units earned under the 2025-2027 Long Term Incentive Plan granted on 5/22/2025; those 4,754 Performance Restricted Stock Units will settle at the end of the performance period on December 31, 2027, upon certification by the Compensation Committee.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John F. Kasel by Maribel Castro,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8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28393" TargetMode="External"/><Relationship Id="rId14" Type="http://schemas.openxmlformats.org/officeDocument/2006/relationships/hyperlink" Target="http://www.sec.gov/cgi-bin/browse-edgar?action=getcompany&amp;CIK=00003528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2026-05-27T14:21:30Z</dcterms:created>
  <dcterms:modified xsi:type="dcterms:W3CDTF">2026-05-27T14:21:30Z</dcterms:modified>
</cp:coreProperties>
</file>