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3542.xml.htm"/>
      <w:bookmarkStart w:id="1" w:name="kswkform4_17858735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Bowlin Jason Kyle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L.B. FOSTER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415 HOLIDAY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FOSTER L B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FSTR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 - Rail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398 restricted stock units (RSUs) which are settled in stock upon vesting and generally will vest ratably over a three-year period on the first, second, and third anniversary of the date of the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340 Performance Restricted Stock Units earned under the 2025-2027 Long Term Incentive Plan granted on 5/22/2025; those 340 Performance Restricted Stock Units will settle at the end of the performance period on December 31, 2027, upon certification by the Compensation Committee.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1,288 Performance Restricted Stock Units earned under the 2024-2026 Long Term Incentive Plan granted on 5/23/2024; those 1,288 Performance Restricted Stock Units will settle at the end of the performance period on December 31, 2026, upon certification of the Compensation Committee.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K. Bowlin by Maribel Castro,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6909" TargetMode="External"/><Relationship Id="rId5" Type="http://schemas.openxmlformats.org/officeDocument/2006/relationships/hyperlink" Target="http://www.sec.gov/cgi-bin/browse-edgar?action=getcompany&amp;CIK=0000352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699</Words>
  <Characters>3796</Characters>
  <CharactersWithSpaces>4424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